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https://www.autoritedelaconcurrence.fr/fr/decision-de-controle-des-concentrations/relative-la-prise-de-controle-exclusif-des-societes-didier</w:t>
      </w:r>
    </w:p>
    <w:p>
      <w:r>
        <w:t>Pages translated : 6</w:t>
      </w:r>
    </w:p>
    <w:p/>
    <w:p>
      <w:r>
        <w:rPr>
          <w:b/>
        </w:rPr>
        <w:t>[Pages 1–3]</w:t>
      </w:r>
    </w:p>
    <w:p>
      <w:r>
        <w:t xml:space="preserve">FRENCH REPUBLIC  </w:t>
        <w:br/>
        <w:t xml:space="preserve">Decision No. 12-DCC-134 of September 20, 2012  </w:t>
        <w:br/>
        <w:t xml:space="preserve">regarding the exclusive control of the companies Didier Guérin SAS  </w:t>
        <w:br/>
        <w:t xml:space="preserve">and Guérin Belle Epine SAS by the Société Anonyme des Galeries  </w:t>
        <w:br/>
        <w:t>Lafayette</w:t>
      </w:r>
    </w:p>
    <w:p>
      <w:r>
        <w:t xml:space="preserve">The Competition Authority,  </w:t>
        <w:br/>
        <w:t xml:space="preserve">Having regard to the notification file sent to the merger service on July 2, 2012, declared complete on August 16, 2012, regarding the exclusive control of the companies Didier Guérin SAS and Guérin Belle Epine SAS by the Société Anonyme des Galeries Lafayette formalized by two draft transfer agreements dated July 17,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Société Anonyme des Galeries Lafayette (hereinafter "SAGL"), the parent company of the Galeries Lafayette group, is controlled and held at […] % of its capital by the Moulin family, one of the two founding families of the Galeries Lafayette brand. The Galeries Lafayette group is a major player in retail distribution in the sectors of fashion, luxury, beauty, leisure, home, food, and consumer credit services, in France and abroad. The group operates through a network of department stores operated under the brands "Galeries Lafayette" and "BHV," brand watch stores organized around the brands "Royal Quartz" (5 stores) and "Louis Pion" (151 stores), as well as a network of city center stores, jointly owned with the Casino group, under the brands "Monoprix," "Inno," and "Naturalia." The Galeries Lafayette group also offers financial services, in conjunction with the BNP Paribas group, management of gift lists and wedding services notably through "Mille et Une Listes," travel and catering services. The group, which owns most of the premises of its department stores, has also developed a real estate management activity.</w:t>
      </w:r>
    </w:p>
    <w:p>
      <w:r>
        <w:t xml:space="preserve">2. The company Didier Guérin SAS is a French law company whose capital is entirely held, directly and indirectly, by Mr. Didier Guérin. It is active in the retail sector of jewelry and watchmaking articles through 31 stores operated under the brands "Didier Guérin," "Or du Temps," and "Première Heure," mainly located in shopping centers. This company also engages, to a lesser extent, in repair services and the repurchase of precious metals.  </w:t>
        <w:br/>
        <w:t xml:space="preserve">3. The company Guérin Belle Epine SAS is a French law company 100% owned by Mrs. Catherine Guérin, which operates a store under the brand "Didier Guérin" located in the regional shopping center Belle Epine, in Thiais (94).  </w:t>
        <w:br/>
        <w:t xml:space="preserve">4. The notified operation consists of the simultaneous acquisition, by UPLIC1, a subsidiary of SAGL, of 100% of the shares of the companies Didier Guérin SAS and Guérin Belle Epine SAS from their respective shareholders, Mr. Didier Guérin on one hand and Mrs. Catherine Guérin on the other hand. The transfer agreements, concluded on the same day, legally provide for the interdependence of the two operations by a mutual condition such that the first operation cannot be carried out without the other also being carried out. This dual acquisition, organized concurrently by the parties, pursues the same economic objective and thus constitutes a single concentration operation within the meaning of Article L.430-1 of the Commercial Code.  </w:t>
        <w:br/>
        <w:t>5. The companies concerned operate retail stores and together achieve a total turnover excluding taxes worldwide of more than 75 million euros (SAGL: […] euros for the fiscal year ending December 31, 2011; Didier Guérin SAS: […] euros for the fiscal year ending March 31, 2012, and Guérin Belle Epine SAS, […] euros for the same fiscal year). Two of them achieve, in France, in the retail sector, a turnover exceeding 15 million euros (SAGL achieved […] euros and Didier Guérin SAS achieved […] for their last closed fiscal years). Given these turnover figures, the operation does not have a community dimension. On the other hand,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to the operation are simultaneously active in the retail sector of jewelry and watchmaking articles. SAGL is present through its networks of department stores "Galeries Lafayette" and "BHV" as well as through the brand "Louis Pion" specialized in watchmaking. The target companies are present in this sector through their stores operated under the brands "Didier Guérin," "Or du Temps," and "Première Heure."  </w:t>
        <w:br/>
        <w:t>7. In terms of distribution, the decision-making practice usually distinguishes the downstream market of distribution, on which companies in the sector are in contact, as suppliers with end consumers, and the upstream supply markets, on which companies, as customers, are in contact with manufacturers.</w:t>
      </w:r>
    </w:p>
    <w:p>
      <w:r>
        <w:t>8. As a preliminary point, it should be recalled that competition authorities regularly question the relevance of a segmentation between distance selling and in-store sales concerning the marketing and distribution of non-food products. However, in the present case, the sales made by the target companies through their website are very insignificant ([…] % of turnover) and are not likely to have an effect on a potential online sales market for jewelry and watchmaking items, therefore this market will not be subject to a competitive analysis.</w:t>
      </w:r>
    </w:p>
    <w:p>
      <w:r>
        <w:t xml:space="preserve">A. RETAIL MARKETS FOR JEWELRY  </w:t>
        <w:br/>
        <w:t xml:space="preserve">1. PRODUCT MARKETS  </w:t>
        <w:br/>
        <w:t xml:space="preserve">9. National competition authorities, while leaving open the question of the exact delimitation of the market, have identified a market for watchmaking, jewelry, and goldsmithing (hereinafter "HBJO"), considering that it encompasses three categories of products: small volume watchmaking (watches and movements), precious jewelry (jewelry in precious metals, set or unset) and non-precious jewelry (jewelry plated with precious metal or made of an alloy incorporating precious metals as well as tin, silver, or alloy goldsmithing products (tableware and gifts).  </w:t>
        <w:br/>
        <w:t xml:space="preserve">10. Costume jewelry, which contains neither precious metal nor stones, is excluded from such delimitation and belongs to a distinct market.  </w:t>
        <w:br/>
        <w:t xml:space="preserve">11. The decision-making practice considers that high jewelry products, offered by companies traditionally referred to by the generic term "Place Vendôme," are also excluded from the HBJO market due to their particularly high selling price.  </w:t>
        <w:br/>
        <w:t xml:space="preserve">12. The notifying party believes that watches referred to as "luxury," that is, priced above 3,000 euros, cannot be included in the HBJO market and fall under the high jewelry market.  </w:t>
        <w:br/>
        <w:t xml:space="preserve">13. In this case, the question of the inclusion of luxury watches in the HBJO market can be left open, as the analysis remains unchanged regardless of the assumption made. As for their inclusion in the high jewelry market, the target companies are not present in the high jewelry market and do not market such watchmaking products, so there is no need to rule on this question.  </w:t>
        <w:br/>
        <w:t>14. Regarding watchmaking items, the minister had raised, during a previous decision in this sector, the question of the existence of a specific market for the retail sale of mid-range watches within the HBJO sector while leaving it open.</w:t>
      </w:r>
    </w:p>
    <w:p>
      <w:r>
        <w:rPr>
          <w:b/>
        </w:rPr>
        <w:t>[Pages 4–6]</w:t>
      </w:r>
    </w:p>
    <w:p>
      <w:r>
        <w:t>15. In the present case, two of the parties to the transaction have a brand specializing in the distribution of watches ("Louis Pion" for the buyer and "Première heure" for the target). This market will therefore be examined without the need to decide on the existence of such a market, as the conclusions of the analysis remain unchanged regardless of the assumptions made.</w:t>
      </w:r>
    </w:p>
    <w:p>
      <w:r>
        <w:t>16. The parties are therefore simultaneously present in the segments of HBJO and costume jewelry. Regarding costume jewelry, the buyer considers that the "Monoprix" brand does not specifically distribute costume jewelry items but offers a broader range of fashion accessory items that cannot be considered substitutable for the offer of specialized brands in costume jewelry such as Agatha or Swarovski. In any case, the allocation of sales made by Monoprix to those of the buyer would not alter the analysis.</w:t>
      </w:r>
    </w:p>
    <w:p>
      <w:r>
        <w:t>17. Regarding a potential segmentation by distribution channel, the competition authority has recognized the existence of different store formats (downtown jewelry stores, shopping center jewelry stores, hypermarket or department store corners) while considering that there is no need to segment the market more finely given the similarities between these stores in terms of jewelry assortment, price ranges, store layout, and supply.</w:t>
      </w:r>
    </w:p>
    <w:p>
      <w:r>
        <w:t>18. In light of the above, the analysis will therefore be conducted on the retail markets for HBJO items on the one hand, possibly distinguishing the specialized distribution of mid-range watches, and on the other hand, for costume jewelry, without the need to challenge the market delineations previously considered by the decision-making practice.</w:t>
      </w:r>
    </w:p>
    <w:p>
      <w:r>
        <w:t>2. GEOGRAPHICAL MARKETS</w:t>
      </w:r>
    </w:p>
    <w:p>
      <w:r>
        <w:t>19. Regarding retail stores, competition operates at the local level, in catchment areas defined based on the attractiveness of the points of sale for customers. The stores of the targets are primarily located in shopping centers that include hypermarkets. In such cases, the decision-making practice has equated the catchment area of these stores to that of a hypermarket, which is approximately a 20 to 30-minute drive radius.</w:t>
      </w:r>
    </w:p>
    <w:p>
      <w:r>
        <w:t>20. In the present case, the analysis will be conducted on the sixteen overlapping areas, within a 20-minute radius around the stores of the target companies, taking into account for certain areas the specificities related to the main public transport routes serving them.</w:t>
      </w:r>
    </w:p>
    <w:p>
      <w:r>
        <w:t>B. THE MARKET FOR THE SUPPLY OF JEWELRY</w:t>
      </w:r>
    </w:p>
    <w:p>
      <w:r>
        <w:t>21. Regarding product markets, the decision-making practice has considered the existence of a single supply market encompassing both HBJO items and costume jewelry, while leaving the question open.</w:t>
      </w:r>
    </w:p>
    <w:p>
      <w:r>
        <w:t>22. Regarding geographical markets, in its previous decision, the competition authority considered that the potential upstream supply markets were of national dimension.</w:t>
      </w:r>
    </w:p>
    <w:p>
      <w:r>
        <w:t>23. In the present case, it is not necessary to resolve these questions as the conclusions of the competitive analysis remain unchanged, regardless of the delineations retained.</w:t>
      </w:r>
    </w:p>
    <w:p>
      <w:r>
        <w:t>III. Competitive Analysis</w:t>
      </w:r>
    </w:p>
    <w:p>
      <w:r>
        <w:t>A. RETAIL MARKETS FOR JEWELRY</w:t>
      </w:r>
    </w:p>
    <w:p>
      <w:r>
        <w:t>24. The parties estimated the size of the local markets by identifying the various market players in the 16 relevant areas and assigning them an average surface area or average turnover obtained from national data, when local data on surface area or turnover were not available.</w:t>
      </w:r>
    </w:p>
    <w:p>
      <w:r>
        <w:t>25. It should be noted that the target companies belong to a specialized jewelry chain whose points of sale are almost entirely located in shopping centers. In this regard, the buyer is not the closest competitor to the target, as its market presence operates through the Louis Pion brand, specialized in mid-range watchmaking, and through the jewelry departments of its department stores Galeries Lafayette and BHV, which offer a wide but shallow range, favoring high-end and luxury segments.</w:t>
      </w:r>
    </w:p>
    <w:p>
      <w:r>
        <w:t>26. At the national level, the new entity will represent less than [5-10]% of the turnover of the HBJO sector (excluding luxury). Following the transaction, it will still face competition from groups of national brands specialized in jewelry such as Bridgepoint Capital Group ("Marc Orian," "Histoire d'Or," "J'M," "Trésor," "Tati Or," "Pop Bijoux," "Louis Berthier") or the Synalia Group ("Julien d'Orcel," "Heure &amp; Montres," "Parfait Alibi"). The jewelry departments of hypermarkets also exert some competitive pressure on these brands, such as "Le manège à bijoux" of Leclerc, "La vie en or" of Auchan, or "Un Monde en Or" of Carrefour.</w:t>
      </w:r>
    </w:p>
    <w:p>
      <w:r>
        <w:t>27. At the local level, the activities of the parties overlap in 16 catchment areas, of which 11 are located in Paris and the Paris region and 5 in the provinces (Lille, Lyon, Nice, Rouen, and Rennes). The market share of the new entity will not exceed [10-20]%, in terms of sales area as well as value, in both the retail market for HBJO items and that for costume jewelry, in any of these areas, except for the Cergy area where the market share in value for HBJO products is [20-30]%. In each of these areas, competition operates locally through hypermarket corners, national chain brands, as well as numerous independent jewelers, located both in downtown and in shopping centers.</w:t>
      </w:r>
    </w:p>
    <w:p>
      <w:r>
        <w:t>28. In a potential market for the distribution of mid-range watches, only two areas would be concerned, one of the targets holding two stores under the brand "Première heure" specialized in the distribution of watches. Whether in the Cergy or Chesnay areas, the stores of the parties ("Première Heure" and "Louis Pion") are located in shopping centers that include several jewelry brands also distributing watches, as well as, for the Chesnay area, distributors specialized in the distribution of watches such as "Swatch" or "Heure et Montres" (Synalia Group).</w:t>
      </w:r>
    </w:p>
    <w:p>
      <w:r>
        <w:t>B. THE MARKET FOR THE SUPPLY OF JEWELRY</w:t>
      </w:r>
    </w:p>
    <w:p>
      <w:r>
        <w:t>29. The estimate of the purchasing share of the new entity in a national market for the supply of jewelry, including both costume and HBJO, is less than [5-10]%. This position is not likely to confer market power to SAGL over its suppliers after the transaction. The analysis remains unchanged if one considers a supply market for HBJO distinct from that for costume jewelry.</w:t>
      </w:r>
    </w:p>
    <w:p>
      <w:r>
        <w:t>30. The parties have only one common supplier among their ten largest suppliers of jewelry items. According to the data provided by the notifying party, the total purchases made from this supplier by the parties to the transaction do not exceed [5-10]% of the turnover of this supplier.</w:t>
      </w:r>
    </w:p>
    <w:p>
      <w:r>
        <w:t>31. In light of the above, the transaction is not likely to harm competition in the retail markets for HBJO and costume jewelry items, nor in the upstream supply market.</w:t>
      </w:r>
    </w:p>
    <w:p>
      <w:r>
        <w:t>DECIDES</w:t>
      </w:r>
    </w:p>
    <w:p>
      <w:r>
        <w:t>Single Article: The notified operation under number 12-108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