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https://www.autoritedelaconcurrence.fr/fr/decision-de-controle-des-concentrations/relative-la-prise-de-controle-exclusif-des-societes-doyen</w:t>
      </w:r>
    </w:p>
    <w:p>
      <w:r>
        <w:t>Pages translated : 8</w:t>
      </w:r>
    </w:p>
    <w:p/>
    <w:p>
      <w:r>
        <w:rPr>
          <w:b/>
        </w:rPr>
        <w:t>[Pages 1–3]</w:t>
      </w:r>
    </w:p>
    <w:p>
      <w:r>
        <w:t xml:space="preserve">FRENCH REPUBLIC  </w:t>
        <w:br/>
        <w:t xml:space="preserve">Decision No. 16-DCC-146 of September 14, 2016  </w:t>
        <w:br/>
        <w:t xml:space="preserve">regarding the exclusive control of the companies Doyen Auto and  </w:t>
        <w:br/>
        <w:t xml:space="preserve">Ariane by the company Autodistribution  </w:t>
        <w:br/>
        <w:t xml:space="preserve">The Competition Authority,  </w:t>
        <w:br/>
        <w:t xml:space="preserve">Having regard to the notification file submitted in full to the merger service on August 10, 2016,  </w:t>
        <w:br/>
        <w:t xml:space="preserve">regarding the exclusive control of the companies Doyen Auto and Ariane by the company  </w:t>
        <w:br/>
        <w:t xml:space="preserve">Autodistribution, formalized by a share transfer agreement dated June 27, 2016;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Autodistribution is the parent company of the Autodistribution group. It is ultimately controlled  </w:t>
        <w:br/>
        <w:t xml:space="preserve">by the investment fund Bain Capital. The Autodistribution group acts as a purchasing center for  </w:t>
        <w:br/>
        <w:t xml:space="preserve">automotive spare parts on behalf of affiliated distributors or members of its distribution networks. It is  </w:t>
        <w:br/>
        <w:t xml:space="preserve">also active in the wholesale sale of spare parts and automotive accessories for light and heavy vehicles  </w:t>
        <w:br/>
        <w:t xml:space="preserve">through two networks: the VL Autodistribution network for the distribution of automotive parts and  </w:t>
        <w:br/>
        <w:t xml:space="preserve">accessories for light vehicles and the PL Autodistribution network for the distribution of parts and  </w:t>
        <w:br/>
        <w:t xml:space="preserve">accessories for heavy vehicles. Finally, the Autodistribution group operates the AD garage network,  </w:t>
        <w:br/>
        <w:t xml:space="preserve">which includes more than 2,000 sites.  </w:t>
        <w:br/>
        <w:t xml:space="preserve">2. Doyen Auto and Ariane are the two parent companies of the Doyen group. Their capital is wholly  </w:t>
        <w:br/>
        <w:t xml:space="preserve">owned by the company Doge Invest. The Doyen group is a purchasing center for automotive spare parts,  </w:t>
        <w:br/>
        <w:t xml:space="preserve">distributes automotive spare parts in the wholesale market, for light vehicles only, and operates, in the  </w:t>
        <w:br/>
        <w:t xml:space="preserve">retail market, a network of garages under the brand "1,2,3 AutoService" and the label "Approved  </w:t>
        <w:br/>
        <w:t>Repairer Requal."</w:t>
      </w:r>
    </w:p>
    <w:p>
      <w:r>
        <w:t xml:space="preserve">3. The operation, formalized by a share transfer agreement dated June 27, 2016, involves the  </w:t>
        <w:br/>
        <w:t xml:space="preserve">acquisition by the company Autodistribution of all shares and voting rights of the companies Doyen Auto  </w:t>
        <w:br/>
        <w:t xml:space="preserve">and Ariane. As it results in the exclusive control of the Doyen group by the Autodistribution group, the  </w:t>
        <w:br/>
        <w:t xml:space="preserve">operation constitutes a concentration operation within the meaning of Article L. 430-1 of the Commercial  </w:t>
        <w:br/>
        <w:t xml:space="preserve">Code.  </w:t>
        <w:br/>
        <w:t xml:space="preserve">4. The companies concerned together achieve a total worldwide turnover excluding taxes of more than  </w:t>
        <w:br/>
        <w:t xml:space="preserve">150 million euros (Bain Capital: [...] euros for the fiscal year ending December 31, 2015; Doyen: 202  </w:t>
        <w:br/>
        <w:t xml:space="preserve">million euros for the same fiscal year). Each of these companies has achieved a turnover in France  </w:t>
        <w:br/>
        <w:t xml:space="preserve">exceeding 50 million euros (Bain Capital: [...] euros for the fiscal year ending December 31, 2015;  </w:t>
        <w:br/>
        <w:t xml:space="preserve">Doyen: 124 million euros for the same fiscal year). Given these turnover figures and insofar as the  </w:t>
        <w:br/>
        <w:t xml:space="preserve">Doyen group has not achieved a turnover exceeding 25 million euros in at least three Member States,  </w:t>
        <w:br/>
        <w:t xml:space="preserve">the operation does not fall under the jurisdiction of the European Union. On the other hand, the control  </w:t>
        <w:br/>
        <w:t xml:space="preserve">thresholds mentioned in I of Article L. 430-2 of the Commercial Code are exceeded. This operation is  </w:t>
        <w:br/>
        <w:t xml:space="preserve">therefore subject to the provisions of Articles L. 430-3 and following of the Commercial Code relating to  </w:t>
        <w:br/>
        <w:t xml:space="preserve">economic concentration.  </w:t>
        <w:br/>
        <w:t xml:space="preserve">II. Delimitation of the relevant markets  </w:t>
        <w:br/>
        <w:t xml:space="preserve">5. The activities of the parties overlap in the markets for the supply of automotive spare parts (A), the  </w:t>
        <w:br/>
        <w:t xml:space="preserve">wholesale distribution of automotive spare parts (B), and the retail distribution of automotive spare  </w:t>
        <w:br/>
        <w:t xml:space="preserve">parts and maintenance and repair services for motor vehicles (C).  </w:t>
        <w:br/>
        <w:t xml:space="preserve">A. THE UPSTREAM MARKETS FOR THE SUPPLY OF SPARE PARTS  </w:t>
        <w:br/>
        <w:t xml:space="preserve">1. PRODUCT MARKET  </w:t>
        <w:br/>
        <w:t xml:space="preserve">6. Wholesalers of spare parts acquire them from manufacturers, original equipment manufacturers, and  </w:t>
        <w:br/>
        <w:t xml:space="preserve">manufacturers to distribute them to their networks or customer networks.  </w:t>
        <w:br/>
        <w:t xml:space="preserve">7. Decision-making practice considers that the supply of spare parts and automotive accessories constitutes  </w:t>
        <w:br/>
        <w:t xml:space="preserve">a distinct product market. It has also considered within this market segmentations according to the  </w:t>
        <w:br/>
        <w:t xml:space="preserve">distribution channel, the type of parts, and the type of vehicle in which these parts are integrated.  </w:t>
        <w:br/>
        <w:t xml:space="preserve">8. Regarding the distribution channels for replacement spare parts, decision-making practice has noted that  </w:t>
        <w:br/>
        <w:t xml:space="preserve">this sector is "organized around two fairly compartmentalized distribution channels, with suppliers  </w:t>
        <w:br/>
        <w:t xml:space="preserve">respectively being manufacturers, who only sell their parts to their authorized network ("manufacturer  </w:t>
        <w:br/>
        <w:t xml:space="preserve">channel"), and equipment manufacturers, who can sell the manufactured parts not only to  </w:t>
        <w:br/>
        <w:t xml:space="preserve">manufacturers but also to independent wholesalers. The latter then sell these parts to authorized networks,  </w:t>
        <w:br/>
        <w:t xml:space="preserve">but also and especially to independent repairers ("independent channel")"2. Thus, "the equipment  </w:t>
        <w:br/>
        <w:t xml:space="preserve">manufacturers who produce parts intended for original equipment can sell to manufacturers the parts  </w:t>
        <w:br/>
        <w:t xml:space="preserve">intended for replacement, for resale, but can also supply directly to wholesalers in the independent  </w:t>
        <w:br/>
        <w:t xml:space="preserve">channel (frequently called 'IAM' for Independent Aftermarket), who in turn resell them to repairers,  </w:t>
        <w:br/>
        <w:t xml:space="preserve">most often independent"3. Decision-making practice has therefore made a distinction between the  </w:t>
        <w:br/>
        <w:t xml:space="preserve">market for sales made to automobile manufacturers for new equipment (OEM – Original Equipment  </w:t>
        <w:br/>
        <w:t xml:space="preserve">Manufacturer) and for the supply of their dealer networks with spare parts (OES – Original Equipment  </w:t>
        <w:br/>
        <w:t xml:space="preserve">Services) and the market for the resale of spare parts by independent resellers (IAM – Independent  </w:t>
        <w:br/>
        <w:t xml:space="preserve">Aftermarket)4. It is in the IAM market that spare parts distributed by large distribution networks or  </w:t>
        <w:br/>
        <w:t xml:space="preserve">specialists in vehicle maintenance are found5.  </w:t>
        <w:br/>
        <w:t xml:space="preserve">9. Regarding the types of replacement spare parts, decision-making practice, without deciding the issue, has  </w:t>
        <w:br/>
        <w:t xml:space="preserve">considered adopting a segmentation established by European Regulation No. 1400/20026 according to  </w:t>
        <w:br/>
        <w:t xml:space="preserve">which "automotive spare parts and accessories are grouped into different product categories. The  </w:t>
        <w:br/>
        <w:t xml:space="preserve">regulation first distinguishes original parts, which are parts manufactured by the automobile manufacturer  </w:t>
        <w:br/>
        <w:t xml:space="preserve">itself or on its behalf or by specialized spare parts manufacturers according to the specifications and  </w:t>
        <w:br/>
        <w:t xml:space="preserve">production standards provided by the manufacturer. It then distinguishes equivalent quality parts that are  </w:t>
        <w:br/>
        <w:t xml:space="preserve">not manufactured on the original chain but whose components are of equivalent or superior quality. Other  </w:t>
        <w:br/>
        <w:t xml:space="preserve">replacement spare parts constitute a third and final category. Automotive accessories are not considered  </w:t>
        <w:br/>
        <w:t xml:space="preserve">as spare parts"7.  </w:t>
        <w:br/>
        <w:t xml:space="preserve">10. Finally, regarding the types of vehicles in which replacement spare parts are integrated, decision-making  </w:t>
        <w:br/>
        <w:t xml:space="preserve">practice has considered distinguishing parts intended for passenger vehicles and light commercial vehicles  </w:t>
        <w:br/>
        <w:t xml:space="preserve">from parts intended for heavy vehicles8.  </w:t>
        <w:br/>
        <w:t xml:space="preserve">11. There is no need to challenge these market delimitations in the context of the present operation.  </w:t>
        <w:br/>
        <w:t xml:space="preserve">12. In this case, the parties are simultaneously present in the market for the supply of spare parts and  </w:t>
        <w:br/>
        <w:t xml:space="preserve">accessories in the IAM channel for light vehicles.  </w:t>
        <w:br/>
        <w:t xml:space="preserve">2 Id.  </w:t>
        <w:br/>
        <w:t xml:space="preserve">3 Id.  </w:t>
        <w:br/>
        <w:t xml:space="preserve">4 See in particular the decision of the European Commission No. COMP/M.2939 JCI / Bosch / VB Autobatterien JV of October 18, 2002; the  </w:t>
        <w:br/>
        <w:t xml:space="preserve">decisions of the Competition Authority No. 11-DCC-21 of February 14, 2011, regarding the exclusive control of the company Parfib by the  </w:t>
        <w:br/>
        <w:t xml:space="preserve">company Plastiques du Val de Loire, No. 11-DCC-60 of April 12, 2011, regarding the acquisition of Société des Polymères Barre-Thomas by  </w:t>
        <w:br/>
        <w:t xml:space="preserve">the company Cooper-Standard Automotive France, No. 11-DCC-111 of July 25, 2011, regarding the exclusive control of Mark IV Systèmes  </w:t>
        <w:br/>
        <w:t xml:space="preserve">Moteurs SAS by Sogefi SpA, No. 14-DCC-44, No. 13-DCC-42 and No. 13-DCC-70, cited above.  </w:t>
        <w:br/>
        <w:t xml:space="preserve">5 See in particular the decision of the European Commission No. COMP/M.2535 Sogefi / Filtrauto of October 29, 2001 and the letter from the  </w:t>
        <w:br/>
        <w:t xml:space="preserve">Minister of Economy dated February 21, 2002, to the Mann + Hummel group regarding a concentration in the automotive equipment sector.  </w:t>
        <w:br/>
        <w:t xml:space="preserve">6 Regulation (EC) No. 1400/2002 of the Commission of July 31, 2002, concerning the application of Article 81, paragraph 3, of the Treaty to  </w:t>
        <w:br/>
        <w:t xml:space="preserve">categories of vertical agreements and concerted practices in the automotive sector. It has been replaced by Regulation (EC) No. 461/2010 of the  </w:t>
        <w:br/>
        <w:t xml:space="preserve">Commission of May 27, 2010, concerning the application of Article 101, paragraph 3, of the Treaty on the functioning of the European Union to  </w:t>
        <w:br/>
        <w:t xml:space="preserve">categories of vertical agreements and concerted practices in the automotive sector.  </w:t>
        <w:br/>
        <w:t xml:space="preserve">7 See in particular the decision of the Competition Authority No. 12-DCC-82, cited above.  </w:t>
        <w:br/>
        <w:t xml:space="preserve">8 See in particular the decisions of the Competition Authority No. 11-DCC-60, No. 12-DCC-82, No. 13-DCC-70, cited above; the decisions of the  </w:t>
        <w:br/>
        <w:t xml:space="preserve">European Commission No. COMP/M.3789 Johnson Controls / Robert Bosch / Delphi Sli of June 29, 2005, and No. COMP/M.3972 Trw  </w:t>
        <w:br/>
        <w:t>Automotive / Dalphi Metal España of October 12, 2005.</w:t>
      </w:r>
    </w:p>
    <w:p>
      <w:r>
        <w:rPr>
          <w:b/>
        </w:rPr>
        <w:t>[Pages 4–6]</w:t>
      </w:r>
    </w:p>
    <w:p>
      <w:r>
        <w:t>2. GEOGRAPHIC MARKET</w:t>
      </w:r>
    </w:p>
    <w:p>
      <w:r>
        <w:t>13. Decision-making practice generally considers that the markets for the supply of automotive spare parts are at least European in scope, insofar as automotive parts manufacturers operate throughout Europe and there are no technical standards or other regulatory barriers to trade within the European Economic Area. However, decision-making practice has noted in certain decisions elements that could lead to considering a narrower delimitation of these markets, namely national, for the IAM channel, such as differences in prices or distribution structures depending on the country.</w:t>
      </w:r>
    </w:p>
    <w:p>
      <w:r>
        <w:t>14. In the case at hand, the question of the precise geographic delimitation of the markets for the supply of automotive spare parts can be left open, as, regardless of the solution adopted, the conclusions of the competitive analysis will remain unchanged.</w:t>
      </w:r>
    </w:p>
    <w:p>
      <w:r>
        <w:t>B. MARKETS FOR WHOLESALE DISTRIBUTION OF AUTOMOTIVE SPARE PARTS</w:t>
      </w:r>
    </w:p>
    <w:p>
      <w:r>
        <w:t>1. PRODUCT MARKET</w:t>
      </w:r>
    </w:p>
    <w:p>
      <w:r>
        <w:t>15. Decision-making practice has noted that companies in the automotive sector distribute spare parts and accessories either at the wholesale or retail stage. Spare parts essential for the operation of the vehicle, primarily supplied by manufacturers or equipment manufacturers in the automotive industry under the designation "original parts," can first be distinguished from simple automotive accessories.</w:t>
      </w:r>
    </w:p>
    <w:p>
      <w:r>
        <w:t>16. At the wholesale stage, spare parts are distributed by dealers in manufacturer networks and wholesalers in manufacturer networks to authorized repairers, most of whom are members of distribution networks, and to independent repairers who install them as part of their repair and maintenance services or resell them at retail. Decision-making practice has distinguished three types of parts based on the category to which their suppliers belong: original parts supplied by the manufacturer, identical original parts supplied by spare parts manufacturers, and equivalent quality spare parts supplied by other spare parts manufacturers. Decision-making practice has also made a distinction based on the types of vehicles, light or heavy, in which the parts are integrated.</w:t>
      </w:r>
    </w:p>
    <w:p>
      <w:r>
        <w:t>17. There is no need to call into question these market delimitations in the context of the present operation.</w:t>
      </w:r>
    </w:p>
    <w:p>
      <w:r>
        <w:t>18. In this case, the parties are simultaneously present in the wholesale market for spare parts and accessories for light vehicles.</w:t>
      </w:r>
    </w:p>
    <w:p>
      <w:r>
        <w:t>2. GEOGRAPHIC MARKET</w:t>
      </w:r>
    </w:p>
    <w:p>
      <w:r>
        <w:t>19. Decision-making practice has left the precise geographic delimitation of the wholesale distribution markets for automotive spare parts open: European, national, or regional. In this case, it is not necessary to resolve the question, as, regardless of the solution adopted, the conclusions of the competitive analysis will remain unchanged.</w:t>
      </w:r>
    </w:p>
    <w:p>
      <w:r>
        <w:t>C. MARKETS FOR RETAIL DISTRIBUTION OF SPARE PARTS AND MAINTENANCE AND REPAIR SERVICES FOR AUTOMOTIVE VEHICLES</w:t>
      </w:r>
    </w:p>
    <w:p>
      <w:r>
        <w:t>1. PRODUCT MARKETS</w:t>
      </w:r>
    </w:p>
    <w:p>
      <w:r>
        <w:t>20. In the automotive distribution sector, decision-making practice distinguishes in particular: (i) the distribution of automotive spare parts and accessories and (ii) the distribution of maintenance and repair services for automotive vehicles.</w:t>
      </w:r>
    </w:p>
    <w:p>
      <w:r>
        <w:t>21. There is no need to call into question this delimitation in the context of the present operation.</w:t>
      </w:r>
    </w:p>
    <w:p>
      <w:r>
        <w:t>22. Within the market for the distribution of maintenance and repair services for automotive vehicles, decision-making practice has considered, while leaving the question open, the existence of a market for fast maintenance and repair services ("fast-fit services").</w:t>
      </w:r>
    </w:p>
    <w:p>
      <w:r>
        <w:t>23. In any case, the question of the existence of a market for fast maintenance and repair services can remain open as the conclusions of the competitive analysis remain identical regardless of the definition adopted.</w:t>
      </w:r>
    </w:p>
    <w:p>
      <w:r>
        <w:t>2. GEOGRAPHIC MARKETS</w:t>
      </w:r>
    </w:p>
    <w:p>
      <w:r>
        <w:t>24. Decision-making practice retains a local definition of these markets, with the analysis generally conducted at the departmental level.</w:t>
      </w:r>
    </w:p>
    <w:p>
      <w:r>
        <w:t>25. The question of the exact delimitation of this market can remain open as the conclusions of the competitive analysis remain identical regardless of the geographic definition adopted.</w:t>
      </w:r>
    </w:p>
    <w:p>
      <w:r>
        <w:t>III. Competitive Analysis</w:t>
      </w:r>
    </w:p>
    <w:p>
      <w:r>
        <w:t>26. The parties are simultaneously active in the markets for the supply of automotive spare parts, wholesale distribution of automotive spare parts, and retail distribution of automotive spare parts and maintenance and repair services for automotive vehicles. The operation therefore leads to horizontal effects (A) and vertical effects (B).</w:t>
      </w:r>
    </w:p>
    <w:p>
      <w:r>
        <w:t>A. HORIZONTAL EFFECTS</w:t>
      </w:r>
    </w:p>
    <w:p>
      <w:r>
        <w:t>1. UPSTREAM MARKETS FOR THE SUPPLY OF SPARE PARTS</w:t>
      </w:r>
    </w:p>
    <w:p>
      <w:r>
        <w:t>27. The combined market share of the parties does not exceed 20% in the market for the supply of spare parts in the IAM channel for light vehicles, regardless of the market considered, and the market share increment resulting from the operation is less than 3%. The parties will continue to face competition in this market from other purchasing groups such as Groupauto, auto centers, and other quick repair chains (Feu vert, Norauto, or Speedy) and from large retailers. Suppliers, namely equipment manufacturers, are also international groups with significant market power.</w:t>
      </w:r>
    </w:p>
    <w:p>
      <w:r>
        <w:t>28. Consequently, the operation is not likely to harm competition in the upstream markets for the supply of spare parts through horizontal effects.</w:t>
      </w:r>
    </w:p>
    <w:p>
      <w:r>
        <w:t>2. MARKETS FOR THE DISTRIBUTION OF AUTOMOTIVE SPARE PARTS</w:t>
      </w:r>
    </w:p>
    <w:p>
      <w:r>
        <w:t>29. In the wholesale market for spare parts, in addition to their own activities, the parties each operate a distribution network, VL Autodistribution for Autodistribution and API for the Doyen group. The notifying party indicated that the Authority might consider that these members are not entirely autonomous from the parties from a commercial perspective and must be integrated into the parties to assess the competitive impact of the operation. The question has been left open as the conclusions of the analysis remain unchanged regardless of the position adopted.</w:t>
      </w:r>
    </w:p>
    <w:p>
      <w:r>
        <w:t>30. For the national market for wholesale distribution of spare parts for light vehicles, where the parties' activities overlap, the notifying party estimates that the market share of the new entity, including the VL Autodistribution and API networks, will not exceed 12.5% regardless of the segmentation adopted.</w:t>
      </w:r>
    </w:p>
    <w:p>
      <w:r>
        <w:t>31. At the regional level, the market shares of the new entity, including the VL Autodistribution and API networks, in the wholesale distribution market for spare parts for light vehicles, will not exceed 18.3% across all regions, with the operation resulting in a maximum market share increment of 2.1%. There are also a significant number of competitors in these markets, including Groupauto, Autolia, Groupe Laurent, Apprau, or Van Heck.</w:t>
      </w:r>
    </w:p>
    <w:p>
      <w:r>
        <w:rPr>
          <w:b/>
        </w:rPr>
        <w:t>[Pages 7–8]</w:t>
      </w:r>
    </w:p>
    <w:p>
      <w:r>
        <w:t>32. Consequently, the notified transaction is not likely to harm competition in the wholesale distribution market of automotive spare parts.</w:t>
      </w:r>
    </w:p>
    <w:p>
      <w:r>
        <w:t>3. RETAIL MARKETS FOR THE DISTRIBUTION OF REPLACEMENT PARTS AND MAINTENANCE AND REPAIR SERVICES FOR AUTOMOBILES</w:t>
      </w:r>
    </w:p>
    <w:p>
      <w:r>
        <w:t>33. In the retail markets, the Doyen group and the distributors of the API network promote and develop the brand "1,2,3 AutoService" and the label "Approved Repairer Requal." The Autodistribution group also manages the AD garage network. The question of the commercial autonomy of these distributors and their potential integration into the parties in the competitive analysis has been left open, as the conclusions of the analysis remain unchanged regardless of the position taken.</w:t>
      </w:r>
    </w:p>
    <w:p>
      <w:r>
        <w:t>34. The parties are simultaneously active in the retail markets for the distribution of replacement parts and maintenance and repair services for automobiles. At the departmental level, the market shares of the parties, including the "1,2,3 AutoService," "Approved Repairer Requal," and "AD" garages, do not exceed 10% in terms of the number of points of sale, regardless of the market considered, except in the department of [confidential] where the cumulative market share of the parties in the market for maintenance and repair services for automobiles is [10-20]%. In this department, numerous competing garages are present: manufacturer-approved garages, auto centers (Norauto, Feu Vert, Speedy, or Auto Leclerc), garage networks (Top Garage, Precisium, or Eurorepar), or tire dealers (Euromaster or Point S).</w:t>
      </w:r>
    </w:p>
    <w:p>
      <w:r>
        <w:t>35. Consequently, the transaction is not likely to harm competition through horizontal effects in the retail distribution markets for automotive replacement parts and accessories and maintenance and repair services for automobiles.</w:t>
      </w:r>
    </w:p>
    <w:p>
      <w:r>
        <w:t>B. VERTICAL EFFECTS</w:t>
      </w:r>
    </w:p>
    <w:p>
      <w:r>
        <w:t>36. A vertical concentration can restrict access to competition by making it more difficult to access the markets in which the new entity will operate, potentially excluding competitors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The Competition Authority considers it unlikely that a company with a market share of less than 30% in a given market can lock in a downstream or upstream market.</w:t>
      </w:r>
    </w:p>
    <w:p>
      <w:r>
        <w:t>37. In this case, the transaction has the effect of strengthening Autodistribution's position in the upstream market for the supply of spare parts and the downstream markets for wholesale and retail distribution of spare parts and maintenance and repair services for vehicles.</w:t>
      </w:r>
    </w:p>
    <w:p>
      <w:r>
        <w:t>38. Upstream, the cumulative market share of the parties does not exceed 20% in the market for the supply of spare parts in the IAM channel for light vehicles, regardless of the market considered, and the increment in market share resulting from the transaction is less than 3%.</w:t>
      </w:r>
    </w:p>
    <w:p>
      <w:r>
        <w:t>39. In the downstream markets, the market shares of the new entity in the wholesale distribution market for spare parts for light vehicles will not exceed 18.3%, regardless of the market considered. In the retail markets for the distribution of replacement parts and maintenance and repair services for automobiles, the cumulative market share of the parties will not exceed 11%, regardless of the market concerned.</w:t>
      </w:r>
    </w:p>
    <w:p>
      <w:r>
        <w:t>40. Furthermore, as previously indicated, the parties face a significant number of competitors in both upstream and downstream markets, who would be able to neutralize any potential lock-in strategy regarding access to outlets and/or inputs.</w:t>
      </w:r>
    </w:p>
    <w:p>
      <w:r>
        <w:t>41. Consequently, the notified transaction is not likely to harm competition through vertical effects.</w:t>
      </w:r>
    </w:p>
    <w:p>
      <w:r>
        <w:t>DECIDES</w:t>
      </w:r>
    </w:p>
    <w:p>
      <w:r>
        <w:t>Sole Article: The transaction notified under number 16-128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