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https://www.autoritedelaconcurrence.fr/fr/decision-de-controle-des-concentrations/relative-la-prise-de-controle-exclusif-des-societes-du-1</w:t>
      </w:r>
    </w:p>
    <w:p>
      <w:r>
        <w:t>Pages translated : 7</w:t>
      </w:r>
    </w:p>
    <w:p/>
    <w:p>
      <w:r>
        <w:rPr>
          <w:b/>
        </w:rPr>
        <w:t>[Pages 1–3]</w:t>
      </w:r>
    </w:p>
    <w:p>
      <w:r>
        <w:t xml:space="preserve">FRENCH REPUBLIC  </w:t>
        <w:br/>
        <w:t xml:space="preserve">Decision No. 14-DCC-181 of December 9, 2014  </w:t>
        <w:br/>
        <w:t xml:space="preserve">regarding the exclusive control of the companies of the Desk Group and  </w:t>
        <w:br/>
        <w:t xml:space="preserve">Holding Lease France by Naxicap Partners  </w:t>
        <w:br/>
        <w:t xml:space="preserve">The Competition Authority,  </w:t>
        <w:br/>
        <w:t xml:space="preserve">Having regard to the notification file submitted in full to the merger service on  </w:t>
        <w:br/>
        <w:t xml:space="preserve">November 20, 2014, regarding the exclusive control of the companies of the Desk Group and  </w:t>
        <w:br/>
        <w:t xml:space="preserve">Holding Lease France by Naxicap Partners, formalized by a firm offer letter for the acquisition of  </w:t>
        <w:br/>
        <w:t xml:space="preserve">the Desk Group and the company Holding Lease France dated July 30, 2014, and the share transfer  </w:t>
        <w:br/>
        <w:t xml:space="preserve">agreements dated October 31, 2014;  </w:t>
        <w:br/>
        <w:t xml:space="preserve">Having regard to Book IV of the Commercial Code relating to the freedom of prices and competition,  </w:t>
        <w:br/>
        <w:t xml:space="preserve">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company Naxicap Partners (hereinafter "Naxicap") is 100% owned by Natixis Global  </w:t>
        <w:br/>
        <w:t xml:space="preserve">Asset Management, which is itself 100% owned by Natixis, a subsidiary of Banque Populaire and  </w:t>
        <w:br/>
        <w:t xml:space="preserve">Caisse d’Epargne (hereinafter "BPCE"). Naxicap is a portfolio management company that  </w:t>
        <w:br/>
        <w:t xml:space="preserve">supports development capital projects, capital restructuring, diversification of the assets of  </w:t>
        <w:br/>
        <w:t xml:space="preserve">managers, financing of transmission and creation, with interventions in equity. Its activity mainly  </w:t>
        <w:br/>
        <w:t xml:space="preserve">focuses on small and medium-sized enterprises.  </w:t>
        <w:br/>
        <w:t xml:space="preserve">2. The Desk Group is active in the distribution and maintenance of office and printing equipment.  </w:t>
        <w:br/>
        <w:t xml:space="preserve">Prior to the operation, the Desk Group is owned by Binah SA, controlled by the undivided estate  </w:t>
        <w:br/>
        <w:t xml:space="preserve">Getreide.  </w:t>
        <w:br/>
        <w:t xml:space="preserve">3. The company Holding Lease France (hereinafter "HLF") is active in the leasing financing  </w:t>
        <w:br/>
        <w:t xml:space="preserve">without purchase option of professional equipment. It is 100% owned by HLF Luxembourg, which is  </w:t>
        <w:br/>
        <w:t>itself 87.5% owned by Holding Lease Groupe and 12.5% by Mr. Hubert Attal.</w:t>
      </w:r>
    </w:p>
    <w:p>
      <w:r>
        <w:t xml:space="preserve">4. Under the terms of a firm offer letter for the acquisition of the Desk Group and the company  </w:t>
        <w:br/>
        <w:t xml:space="preserve">Holding Lease France dated July 30, 2014, and the share transfer agreements dated October 31,  </w:t>
        <w:br/>
        <w:t xml:space="preserve">2014, Naxicap committed to have a newly created company (hereinafter "Newco") acquire 100%  </w:t>
        <w:br/>
        <w:t xml:space="preserve">of the capital and voting rights of the Desk Group and HLF. Upon completion of the transaction,  </w:t>
        <w:br/>
        <w:t xml:space="preserve">Naxicap will hold 58% of Newco, Binah will hold 32%, and the remaining 10% will be held by  </w:t>
        <w:br/>
        <w:t xml:space="preserve">certain Managers of the Group.  </w:t>
        <w:br/>
        <w:t xml:space="preserve">5. The draft shareholders' agreement of Newco provides that a "Strategic Control Committee"  </w:t>
        <w:br/>
        <w:t xml:space="preserve">(hereinafter the "Committee") will be established, with the purpose of studying the strategic  </w:t>
        <w:br/>
        <w:t xml:space="preserve">directions of the group and authorizing Newco to make any important decision. The following  </w:t>
        <w:br/>
        <w:t xml:space="preserve">decisions will notably be submitted to the prior authorization of the Board: the approval or  </w:t>
        <w:br/>
        <w:t xml:space="preserve">modification of the annual budget; any decision to revoke or not renew the President; any project  </w:t>
        <w:br/>
        <w:t xml:space="preserve">to create, substantially change, or cease the activity or business line of the Company or one of its  </w:t>
        <w:br/>
        <w:t xml:space="preserve">Subsidiaries. The Committee will be composed of five members: two members will be appointed  </w:t>
        <w:br/>
        <w:t xml:space="preserve">upon the proposal of Naxicap; two independent members will be appointed by decision of the  </w:t>
        <w:br/>
        <w:t xml:space="preserve">shareholders upon the proposal of Naxicap, after consultation with Binah; one member will be  </w:t>
        <w:br/>
        <w:t xml:space="preserve">designated by Binah who will chair the Committee. Decisions will be made by simple majority,  </w:t>
        <w:br/>
        <w:t xml:space="preserve">it being specified that each member will have one vote except for the members designated by  </w:t>
        <w:br/>
        <w:t xml:space="preserve">Naxicap who will each have a double vote. Naxicap will thus have the majority within the  </w:t>
        <w:br/>
        <w:t xml:space="preserve">Committee. The minority shareholders do not hold advantages exceeding those usually conferred  </w:t>
        <w:br/>
        <w:t xml:space="preserve">for the protection of their financial interests, and given the composition and rules regarding  </w:t>
        <w:br/>
        <w:t xml:space="preserve">decision-making within the Committee, Naxicap will hold exclusive control over Newco.  </w:t>
        <w:br/>
        <w:t xml:space="preserve">6. Insofar as it results in the exclusive control of the Desk Group and HLF by Naxicap, the  </w:t>
        <w:br/>
        <w:t xml:space="preserve">operation constitutes a concentration within the meaning of Article L. 430-1 of the Commercial  </w:t>
        <w:br/>
        <w:t xml:space="preserve">Code.  </w:t>
        <w:br/>
        <w:t xml:space="preserve">7. The operations for the acquisition of exclusive control of the Desk Group and HLF by Naxicap  </w:t>
        <w:br/>
        <w:t xml:space="preserve">are interdependent operations, in that the operations are legally linked by mutual conditionality  </w:t>
        <w:br/>
        <w:t xml:space="preserve">and will be concurrent. These operations therefore constitute a single concentration operation  </w:t>
        <w:br/>
        <w:t xml:space="preserve">within the meaning of Article L. 430-1 of the Commercial Code.  </w:t>
        <w:br/>
        <w:t xml:space="preserve">8. The concerned companies have together achieved a consolidated turnover excluding taxes on a  </w:t>
        <w:br/>
        <w:t xml:space="preserve">global scale of more than 150 million euros (BPCE: […] euros for the fiscal year ending December  </w:t>
        <w:br/>
        <w:t xml:space="preserve">31, 2013; Desk Group: […] euros for the fiscal year ending December 31, 2013; HLF: […] euros  </w:t>
        <w:br/>
        <w:t xml:space="preserve">for the fiscal year ending December 31, 2013). Each of these companies has achieved, in France,  </w:t>
        <w:br/>
        <w:t xml:space="preserve">a turnover exceeding 50 million euros (BPCE: […] euros for the fiscal year ending December 31,  </w:t>
        <w:br/>
        <w:t xml:space="preserve">2013; Desk Group: […] euros for the fiscal year ending December 31, 2013; HLF: […] euros for  </w:t>
        <w:br/>
        <w:t xml:space="preserve">the fiscal year ending December 31, 2013). Given the turnover of the concerned companies, it does  </w:t>
        <w:br/>
        <w:t xml:space="preserve">not have a community dimension. On the other hand, the control thresholds mentioned in Article L.  </w:t>
        <w:br/>
        <w:t xml:space="preserve">430-2-I of the Commercial Code are exceeded. The present operation is therefore subject to the  </w:t>
        <w:br/>
        <w:t>provisions of Articles L. 430-3 and following of the Commercial Code.</w:t>
      </w:r>
    </w:p>
    <w:p>
      <w:r>
        <w:t xml:space="preserve">II. Delimitation of Relevant Markets  </w:t>
        <w:br/>
        <w:t xml:space="preserve">9. The Desk Group is active in the markets for the distribution of IT products and IT services.  </w:t>
        <w:br/>
        <w:t xml:space="preserve">BPCE and HLF are simultaneously active in the market for leasing financing services of movable  </w:t>
        <w:br/>
        <w:t xml:space="preserve">assets for businesses.  </w:t>
        <w:br/>
        <w:t xml:space="preserve">A. THE MARKET FOR THE DISTRIBUTION OF IT PRODUCTS  </w:t>
        <w:br/>
        <w:t xml:space="preserve">1. PRODUCT MARKET  </w:t>
        <w:br/>
        <w:t xml:space="preserve">10. European and national decision-making practice considers that the wholesale distribution of IT  </w:t>
        <w:br/>
        <w:t xml:space="preserve">products to distributors constitutes a distinct market from retail distribution due to specific  </w:t>
        <w:br/>
        <w:t xml:space="preserve">characteristics. Wholesalers are indeed able to offer a very wide range of products, by sourcing from  </w:t>
        <w:br/>
        <w:t xml:space="preserve">several manufacturers, and deliver to their clients within short timeframes, thanks to significant  </w:t>
        <w:br/>
        <w:t xml:space="preserve">logistical capabilities. Furthermore, it has been emphasized that direct sales made by manufacturers  </w:t>
        <w:br/>
        <w:t xml:space="preserve">to distributors exert a certain competitive pressure on the sales of wholesalers, particularly in terms  </w:t>
        <w:br/>
        <w:t xml:space="preserve">of price.  </w:t>
        <w:br/>
        <w:t xml:space="preserve">11. Moreover, competition authorities have considered segmenting the market for the distribution of  </w:t>
        <w:br/>
        <w:t xml:space="preserve">IT products based on the distribution channel and the type of software or hardware, both at the  </w:t>
        <w:br/>
        <w:t xml:space="preserve">wholesale stage and at the retail stage.  </w:t>
        <w:br/>
        <w:t xml:space="preserve">12. Three distribution channels have thus been identified: large and medium-sized generalist and  </w:t>
        <w:br/>
        <w:t xml:space="preserve">specialized stores; value-added resellers (VARS who integrate their own software with the  </w:t>
        <w:br/>
        <w:t xml:space="preserve">hardware purchased wholesale for resale); and specialized distributors for professional clients  </w:t>
        <w:br/>
        <w:t xml:space="preserve">("corporate resellers").  </w:t>
        <w:br/>
        <w:t xml:space="preserve">13. It has then been considered to segment the market according to the type of hardware sold,  </w:t>
        <w:br/>
        <w:t xml:space="preserve">notably distinguishing (i) microcomputers and servers, (ii) printers and cartridges, (iii) software,  </w:t>
        <w:br/>
        <w:t xml:space="preserve">and (iv) accessories and other peripherals. The European Commission has also considered on several  </w:t>
        <w:br/>
        <w:t xml:space="preserve">occasions the existence of distinct markets concerning servers, storage accessories, peripherals, and  </w:t>
        <w:br/>
        <w:t xml:space="preserve">software.  </w:t>
        <w:br/>
        <w:t xml:space="preserve">14. In this case, the Desk Group acts as a specialized distributor of printers and cartridges for  </w:t>
        <w:br/>
        <w:t xml:space="preserve">professional clients.  </w:t>
        <w:br/>
        <w:t xml:space="preserve">1 Decisions of the European Commission No. IV/M.1179 Tech Data/Computer 2000 of 03/06/1998; No. COMP/M.5091 Tech Data/Scribona  </w:t>
        <w:br/>
        <w:t xml:space="preserve">of 28/04/2008; Decision of the Competition Authority No. 11-DCC-139 of September 20, 2011, regarding the exclusive control of  </w:t>
        <w:br/>
        <w:t xml:space="preserve">Large Network Administration and its subsidiary LGD by SCC France; Decision of the Competition Authority No. 09-DCC-39 of  </w:t>
        <w:br/>
        <w:t xml:space="preserve">September 4, 2009, regarding the acquisition by Systemax of Wstore Europe S.A; letter from the minister No. C2007-160 of  </w:t>
        <w:br/>
        <w:t xml:space="preserve">December 14, 2007, to the board of Gem Logistics Ltd.  </w:t>
        <w:br/>
        <w:t xml:space="preserve">2 See in particular the aforementioned decision No. M.5091 of the European Commission.  </w:t>
        <w:br/>
        <w:t xml:space="preserve">3 Decisions of the Competition Authority No. 09-DCC-39 and No. 11-DCC-36 of March 11, 2011, regarding the exclusive control of  </w:t>
        <w:br/>
        <w:t xml:space="preserve">the Top Info group by Computacenter group.  </w:t>
        <w:br/>
        <w:t xml:space="preserve">4 See the decisions of the Competition Authority No. 09-DCC-39 of September 4, 2009, regarding the acquisition by Systemax of  </w:t>
        <w:br/>
        <w:t xml:space="preserve">Wstore Europe SA and No. 10-DCC-127.  </w:t>
        <w:br/>
        <w:t>5 See in particular the decision of the European Commission COMP/M.5864 of July 2, 2010, Avnet / Bell Micro.</w:t>
      </w:r>
    </w:p>
    <w:p>
      <w:r>
        <w:rPr>
          <w:b/>
        </w:rPr>
        <w:t>[Pages 4–6]</w:t>
      </w:r>
    </w:p>
    <w:p>
      <w:r>
        <w:t>15. In the present case, the question of the precise definition of the market for the distribution of computer products can be left open insofar as, regardless of the delineation adopted, the competitive analysis will remain unchanged.</w:t>
      </w:r>
    </w:p>
    <w:p>
      <w:r>
        <w:t>2. GEOGRAPHIC MARKET</w:t>
      </w:r>
    </w:p>
    <w:p>
      <w:r>
        <w:t>16. Decision-making practice considers that the markets for the distribution of computer products were of national dimension, notably due to the necessity for wholesalers and retailers of computer products to regularly communicate in the language of their clients and to maintain a relative proximity with them. However, they have noted a certain internationalization of supply and demand.</w:t>
      </w:r>
    </w:p>
    <w:p>
      <w:r>
        <w:t>17. Similarly, the markets for the procurement of computer products from manufacturers could have at least a national dimension.</w:t>
      </w:r>
    </w:p>
    <w:p>
      <w:r>
        <w:t>18. In this case, the competitive analysis will be conducted at the national level.</w:t>
      </w:r>
    </w:p>
    <w:p>
      <w:r>
        <w:t>B. THE MARKET FOR IT SERVICES</w:t>
      </w:r>
    </w:p>
    <w:p>
      <w:r>
        <w:t>1. PRODUCT MARKET</w:t>
      </w:r>
    </w:p>
    <w:p>
      <w:r>
        <w:t>19. European and national decision-making practice has identified, within the market for IT services, seven functional categories of services: (i) global management services, (ii) business management services, (iii) software development and integration, (iv) consulting, (v) software maintenance and logistical support, (vi) hardware maintenance and logistical support, and (vii) teaching and training. However, it has not been excluded that these seven categories of services could be considered as belonging to a global market for IT services insofar as clients generally seek a service that integrates all of the activities described above and there exists a high degree of substitutability on the supply side.</w:t>
      </w:r>
    </w:p>
    <w:p>
      <w:r>
        <w:t>20. Various alternative or complementary segmentations have also been considered according to:</w:t>
        <w:br/>
        <w:t>- the type of clientele: SMEs or large accounts;</w:t>
        <w:br/>
        <w:t>- the types of information and communication systems: (i) management application systems, which include IT services used to fulfill a horizontal function within companies or administrations; (ii) embedded scientific and technical industrial application systems; (iii) generic application systems; (iv) IT infrastructure systems; and (v) communication infrastructure and enterprise network systems;</w:t>
        <w:br/>
        <w:t>- the sector of activity, namely: (i) communications, (ii) education, (iii) energy and local networks, (iv) financial services, (v) the public sector, (vi) health, (vii) industry, (viii) commerce and distribution, (ix) services, and (x) transport.</w:t>
      </w:r>
    </w:p>
    <w:p>
      <w:r>
        <w:t>21. There is no need to challenge these segmentations in the context of the present operation.</w:t>
      </w:r>
    </w:p>
    <w:p>
      <w:r>
        <w:t>22. In this case, the Desk Group is active in the segment of hardware maintenance and logistical support and addresses a clientele primarily composed of SMEs.</w:t>
      </w:r>
    </w:p>
    <w:p>
      <w:r>
        <w:t>2. GEOGRAPHIC MARKET</w:t>
      </w:r>
    </w:p>
    <w:p>
      <w:r>
        <w:t>23. Competition authorities consider that the markets for IT services were of national dimension. The competitive analysis will therefore be conducted at the national level.</w:t>
      </w:r>
    </w:p>
    <w:p>
      <w:r>
        <w:t>C. THE MARKET FOR LEASING FINANCING SERVICES OF MOVABLE ASSETS FOR BUSINESSES</w:t>
      </w:r>
    </w:p>
    <w:p>
      <w:r>
        <w:t>1. PRODUCT MARKET</w:t>
      </w:r>
    </w:p>
    <w:p>
      <w:r>
        <w:t>24. Decision-making practice segments the banking sector into three distinct product markets: retail banking services for individuals (retail banking), banking services for businesses (commercial banking), and operations on financial markets. Furthermore, competition authorities consider that these three categories of services can be subdivided into numerous specific offerings.</w:t>
      </w:r>
    </w:p>
    <w:p>
      <w:r>
        <w:t>25. Previous decision-making practice has thus considered that it was possible to segment leasing financing services of movable assets for businesses based on the leasing financing modalities offered such as leasing, financial rental, long-term vehicle rental, but ultimately left the precise delineation of the markets in question open.</w:t>
      </w:r>
    </w:p>
    <w:p>
      <w:r>
        <w:t>26. It has also considered a distinction based on the categories of assets covered by these services, the categories of clients, or the different sectors of activity of the clients, but also left the precise delineation of the markets in question open.</w:t>
      </w:r>
    </w:p>
    <w:p>
      <w:r>
        <w:t>27. It is not necessary in the context of the present operation to make a ruling on a precise delineation of the markets in question, as regardless of the delineation adopted, the conclusions of the competitive analysis will remain unchanged.</w:t>
      </w:r>
    </w:p>
    <w:p>
      <w:r>
        <w:t>28. In this case, HLF and the BPCE group are simultaneously active in the segment of long-term leasing financing without a purchase option for equipment aimed at professionals. BPCE is also active in the market for movable leasing and other rental operations with a purchase option.</w:t>
      </w:r>
    </w:p>
    <w:p>
      <w:r>
        <w:t>2. GEOGRAPHIC MARKET</w:t>
      </w:r>
    </w:p>
    <w:p>
      <w:r>
        <w:t>29. Decision-making practice considers that the geographic dimension of the leasing services markets is national when the services are provided to small and medium-sized enterprises, and could be broader than national when these services are provided to large enterprises.</w:t>
      </w:r>
    </w:p>
    <w:p>
      <w:r>
        <w:t>30. The services offered by HLF, targeting a clientele primarily composed of SMEs, will lead the competitive analysis to be conducted at the national level.</w:t>
      </w:r>
    </w:p>
    <w:p>
      <w:r>
        <w:t>III. Competitive Analysis</w:t>
      </w:r>
    </w:p>
    <w:p>
      <w:r>
        <w:t>A. ANALYSIS OF HORIZONTAL EFFECTS</w:t>
      </w:r>
    </w:p>
    <w:p>
      <w:r>
        <w:t>31. HLF and BPCE both offer leasing financing services for movable assets aimed at businesses. The share of the new entity will be less than 20%, with HLF representing less than [0-5]% of the market. The parties will continue to face the presence of numerous and significant competitors such as Société Générale, BNP Paribas, and Crédit Agricole, as well as competition from a multitude of small and medium players.</w:t>
      </w:r>
    </w:p>
    <w:p>
      <w:r>
        <w:t>32. In the segment of long-term leasing financing services without a purchase option, the market share of the new entity will be less than 10%, with HLF representing less than [0-5]% of the market.</w:t>
      </w:r>
    </w:p>
    <w:p>
      <w:r>
        <w:t>33. Consequently, the present operation is not likely to harm competition through unilateral effects in the market for leasing financing services of movable assets aimed at businesses.</w:t>
      </w:r>
    </w:p>
    <w:p>
      <w:r>
        <w:t>B. ANALYSIS OF VERTICAL EFFECTS</w:t>
      </w:r>
    </w:p>
    <w:p>
      <w:r>
        <w:t>34.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w:t>
      </w:r>
    </w:p>
    <w:p>
      <w:r>
        <w:rPr>
          <w:b/>
        </w:rPr>
        <w:t>[Pages 7–7]</w:t>
      </w:r>
    </w:p>
    <w:p>
      <w:r>
        <w:t>an increase in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dismisses the risks of locking when the share of the company resulting from the operation in the relevant markets does not exceed 30%.</w:t>
      </w:r>
    </w:p>
    <w:p>
      <w:r>
        <w:t>35. In the present case, the operation will indeed allow BPCE and HLF to offer the clients of the Desk group leasing financing solutions for IT products and services.</w:t>
      </w:r>
    </w:p>
    <w:p>
      <w:r>
        <w:t>36. However, the market share of the Desk Group is less than [0-5]% in the market for the distribution of IT products regardless of the market segmentation adopted and less than [0-5]% in the segment of IT equipment maintenance and logistical support within the market for IT services.</w:t>
      </w:r>
    </w:p>
    <w:p>
      <w:r>
        <w:t>37. Furthermore, the market for the distribution of IT products, intrinsically linked to the market for IT services, is highly fragmented and characterized by the presence of a multitude of small independent players. In these markets, the Desk Group faces numerous competitors, including the C’Pro group, Dactyl-OMR, and NetMakers.</w:t>
      </w:r>
    </w:p>
    <w:p>
      <w:r>
        <w:t>38. Given these elements, the present operation is not likely to harm competition through vertical effects.</w:t>
      </w:r>
    </w:p>
    <w:p>
      <w:r>
        <w:t>DECIDES</w:t>
      </w:r>
    </w:p>
    <w:p>
      <w:r>
        <w:t>Sole Article: The operation notified under number 14-169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