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https://www.autoritedelaconcurrence.fr/fr/decision-de-controle-des-concentrations/relative-la-prise-de-controle-exclusif-des-societes-du-2</w:t>
      </w:r>
    </w:p>
    <w:p>
      <w:r>
        <w:t>Pages translated : 6</w:t>
      </w:r>
    </w:p>
    <w:p/>
    <w:p>
      <w:r>
        <w:rPr>
          <w:b/>
        </w:rPr>
        <w:t>[Pages 1–3]</w:t>
      </w:r>
    </w:p>
    <w:p>
      <w:r>
        <w:t xml:space="preserve">FRENCH REPUBLIC  </w:t>
        <w:br/>
        <w:t xml:space="preserve">Decision No. 15-DCC-126 of September 17, 2015  </w:t>
        <w:br/>
        <w:t xml:space="preserve">regarding the exclusive control of the Imexso group companies  </w:t>
        <w:br/>
        <w:t>by Alcopa</w:t>
      </w:r>
    </w:p>
    <w:p>
      <w:r>
        <w:t xml:space="preserve">The Competition Authority,  </w:t>
        <w:br/>
        <w:t xml:space="preserve">Having regard to the notification file submitted in full to the merger service on August 14, 2015,  </w:t>
        <w:br/>
        <w:t xml:space="preserve">regarding the exclusive control of the Imexso group companies by Alcopa, formalized by  </w:t>
        <w:br/>
        <w:t xml:space="preserve">a share acquisition agreement dated June 12, 2015;  </w:t>
        <w:br/>
        <w:t xml:space="preserve">Having regard to Book IV of the Commercial Code relating to price freedom and competition, and  </w:t>
        <w:br/>
        <w:t xml:space="preserve">notably its Articles L. 430-1 to L. 430-7;  </w:t>
        <w:br/>
        <w:t xml:space="preserve">Having regard to the additional elements transmitted by the parties during the investigation;  </w:t>
        <w:br/>
        <w:t>Adopts the following decision:</w:t>
      </w:r>
    </w:p>
    <w:p>
      <w:r>
        <w:t xml:space="preserve">I. The concerned companies and the operation  </w:t>
        <w:br/>
        <w:t>1. Alcopa NV is a company under Belgian law at the head of the Alcopa group (hereinafter "Groupe Alcopa"). It is structured around seven business sectors including notably automotive distribution, two-wheeler distribution, office furniture sales, and real estate investment. Through its subsidiary Alcopa Car Distribution (hereinafter "Alcadis"), Groupe Alcopa is active in the importation of motor vehicles from Korean and Japanese brands, with a view to reselling them to authorized network distributors in Belgium, Luxembourg, Switzerland, Poland, Germany, and the Netherlands. Alcadis also holds nearly all of the capital of the Luxembourg company Autodrom (hereinafter "Autodrom"), active in the trading of motor vehicles in Belgium, Luxembourg, and occasionally in France. Furthermore, Groupe Alcopa exercises, through the company Moorkens Distribution, joint control over the company Bernard Participations, alongside the civil company Fiber1. Bernard Participations is the parent company of the Bernard group, active in the wholesale and retail distribution of new (for retail) and used (retail and wholesale) vehicles in France as well as certain related services such as authorized repair of these vehicles. Groupe Bernard also offers passenger vehicle rental services (under the Hertz franchise) and industrial vehicles. Finally, Groupe Alcopa distributes used vehicles wholesale through auctions.</w:t>
      </w:r>
    </w:p>
    <w:p>
      <w:r>
        <w:t>2. The Imexso group is composed of six Belgian law companies, A Auto Imexso SA, Europe Rent SA, Universal Rent A Car SPRL, A Auto-Rent Belgium SPRL, BGRent SPRL, and B.R. Transports SPRL (hereinafter "Imexso group companies" or "target companies"). A Auto Imexso SA is active in the wholesale sale of used vehicles to independent distributors and garages. A Auto-Rent Belgium offers car rental services. The other four companies in the Imexso group conduct their activities intra-group, consisting of purchasing vehicles to resell exclusively to A Auto Imexso. The companies of the Imexso group are each held by the same four shareholders, for a variable share of their capital, namely the companies Holding Fontenelle (between [confidential] % and [confidential] % of the capital), Demolie Gestion (between [confidential] % and [confidential] % of the capital), Mobility &amp; Services Center ([confidential] % of the capital), and Immosphère ([confidential] % of the capital), without any exclusive or joint control being exercised by these shareholders over the target companies.</w:t>
      </w:r>
    </w:p>
    <w:p>
      <w:r>
        <w:t>3. The operation, formalized by a single share acquisition agreement dated June 12, 2015, consists of the transfer to Autodrom of all the shares held by Holding Fontenelle and Démolie Gestion in the Imexso group companies. Mobility &amp; Services Center will also transfer to Autodrom one share from each of the target companies. Following the completion of the acquisition agreement, Alcopa, via Autodrom, will hold between [confidential] % and [confidential] % of the capital of the Imexso group companies. The remainder will be held by Mobility &amp; Services Center, between [confidential] % and [confidential] % depending on the target company, and Immosphère, at [confidential] % for all of them.</w:t>
      </w:r>
    </w:p>
    <w:p>
      <w:r>
        <w:t>4. With the holding of the majority of their capital, Autodrom will exercise a decisive influence over the target companies. The exercise of this control will differ depending on the target companies. Regarding the companies Universal Rent A Car, A Auto-Rent Belgium, BGRent, and B.R. Transports, Autodrom will be able to impose its decisions alone within their general meetings where strategic decisions are adopted by a simple majority. Regarding the companies A Auto Imexso and Europe Rent, Autodrom will appoint three of the six representatives on the board of directors, the other three representatives being chosen by Immosphère and Mobility &amp; Services Center. To the extent that strategic decisions must be approved by two-thirds of the representatives on the board of directors, Autodrom, which will be the only one able to block their approval, will exercise a negative exclusive control over these companies. Finally, the draft agreement between the future shareholders of the Imexso group companies does not grant any veto rights to minority shareholders over strategic decisions made in the governing bodies of the six target companies.</w:t>
      </w:r>
    </w:p>
    <w:p>
      <w:r>
        <w:t>5. The concerned companies together achieve a total worldwide turnover excluding tax of more than 150 million euros (Groupe Alcopa: [confidential] euros for the fiscal year ending December 31, 2014; target companies: […] euros for the fiscal year ending December 31, 2014). Each of these companies has achieved a turnover in France exceeding 50 million euros (Groupe Alcopa: […] euros for the fiscal year ending December 31, 2014; target companies: […] euros for the fiscal year ending December 31, 2014).</w:t>
      </w:r>
    </w:p>
    <w:p>
      <w:r>
        <w:t>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6. The parties are active in the wholesale distribution and rental of motor vehicles.</w:t>
      </w:r>
    </w:p>
    <w:p>
      <w:r>
        <w:t xml:space="preserve">A. MARKET FOR WHOLESALE DISTRIBUTION OF MOTOR VEHICLES  </w:t>
        <w:br/>
        <w:t>7. European decision-making practice distinguishes between the wholesale distribution market and the retail distribution market for motor vehicles. Wholesale trade connects distributors or importers with resellers who market the vehicles to end consumers. Within the wholesale distribution market for motor vehicles, European decision-making practice distinguishes a market for new vehicles and a market for used vehicles.</w:t>
      </w:r>
    </w:p>
    <w:p>
      <w:r>
        <w:t>8. European decision-making practice has considered, for both new and used vehicles, segmenting according to the type of vehicles (passenger vehicles and light commercial vehicles). Regarding used vehicles, the European Commission has questioned, without definitively resolving the issue, the existence of a specific sub-segment for the wholesale distribution of used vehicles through physical auction services.</w:t>
      </w:r>
    </w:p>
    <w:p>
      <w:r>
        <w:t>9. There is no reason to challenge the market segmentations analyzed by decision-making practice for the purposes of this operation.</w:t>
      </w:r>
    </w:p>
    <w:p>
      <w:r>
        <w:t>10. The notifying party proposes to distinguish, within the wholesale distribution market, a specific market for automobile vehicle trading. It indicates that this activity consists of purchasing surplus vehicles from the stocks of manufacturers, importers, or distributors with a view to reselling them primarily to independent distributors. It would differ from the wholesale distribution of motor vehicles in that it primarily targets independent non-authorized garages. Furthermore, it adds that the prices at which vehicles are sold to traders are lower than those practiced in the wholesale market as importers and distributors benefit from discounts on the vehicles they purchase from manufacturers in exchange for volume commitments.</w:t>
      </w:r>
    </w:p>
    <w:p>
      <w:r>
        <w:rPr>
          <w:b/>
        </w:rPr>
        <w:t>[Pages 4–6]</w:t>
      </w:r>
    </w:p>
    <w:p>
      <w:r>
        <w:t>of purchase. Finally, the notifying party does not propose to segment the market for automobile vehicle trading more finely.</w:t>
      </w:r>
    </w:p>
    <w:p>
      <w:r>
        <w:t>11. In any event, the question of the existence of a specific market for automobile vehicle trading can be left open insofar as the conclusions of the competitive analysis will remain unchanged regardless of the segmentation considered.</w:t>
      </w:r>
    </w:p>
    <w:p>
      <w:r>
        <w:t>12. Regarding the geographical delimitation, decision-making practice has left open the question of a European or national delimitation of the wholesale distribution markets for new and used vehicles. Furthermore, the notifying party considers that a potential market for automobile vehicle trading would be of European dimension, particularly due to homogeneous conditions of competition within the European Economic Area and the supply of automobile vehicle traders which operates at a supranational level.</w:t>
      </w:r>
    </w:p>
    <w:p>
      <w:r>
        <w:t>13. In this case, the parties are simultaneously active in the wholesale distribution markets for used passenger and light commercial vehicles at both the French and European levels. They are also both active in a potential market for automobile vehicle trading in France.</w:t>
      </w:r>
    </w:p>
    <w:p>
      <w:r>
        <w:t>14. The notifying party specifies that the vehicles sold in France by the target are vehicles that have never been driven but are classified as used vehicles due to the fact that they are sold already registered. In any event, the question of whether the vehicles sold by the target belong to the wholesale distribution market for new vehicles or to the wholesale distribution market for used vehicles can be left open insofar as the conclusions of the competitive analysis remain unchanged regardless of the segmentation analyzed.</w:t>
      </w:r>
    </w:p>
    <w:p>
      <w:r>
        <w:t>B. MARKET FOR AUTOMOBILE VEHICLE RENTAL</w:t>
      </w:r>
    </w:p>
    <w:p>
      <w:r>
        <w:t>15. European and national decision-making practice recognizes the existence of a market for automobile vehicle rental. It considers the possibility of segmenting this market based on the duration of the rental, namely short-term rental, focused on meeting business travel, leisure, or tourism needs, and long-term rental, lasting more than one year and presenting specificities in terms of financing and fleet management.</w:t>
      </w:r>
    </w:p>
    <w:p>
      <w:r>
        <w:t>16. Furthermore, the European Commission considers segmenting the market for automobile vehicle rental based on the type of clientele, that is, rentals for leisure purposes and for commercial purposes. It has questioned the existence of a sub-segmentation between rentals of passenger vehicles and rentals of industrial vehicles (trucks, for example). Finally, it considers a specific market for vehicle replacement services. However, the relevance of all these segmentations has been left open.</w:t>
      </w:r>
    </w:p>
    <w:p>
      <w:r>
        <w:t>17. There is no need to challenge the market segmentations analyzed by decision-making practice for the purposes of the present operation.</w:t>
      </w:r>
    </w:p>
    <w:p>
      <w:r>
        <w:t>18. Regarding the geographical delimitation, decision-making practice considers, while leaving the question open, analyzing the market for automobile vehicle rental at the national and local levels.</w:t>
      </w:r>
    </w:p>
    <w:p>
      <w:r>
        <w:t>19. In this case, the parties are simultaneously active in the market for short-term rental of passenger vehicles for leisure purposes.</w:t>
      </w:r>
    </w:p>
    <w:p>
      <w:r>
        <w:t>III. Competitive Analysis</w:t>
      </w:r>
    </w:p>
    <w:p>
      <w:r>
        <w:t>20. In the market for wholesale distribution of used motor vehicles, the combined market share of the parties following the operation will remain very moderate, below [0-5] %, with a similarly very limited increment, regardless of the segmentation and geographical delimitation considered. Even considering the vehicles sold by the target companies as new vehicles, the market share of the new entity would remain below [0-5] % at the European level, regardless of the segmentation considered (there would be no overlap at the French level, as Alcopa is not active in the wholesale distribution market for new vehicles in France).</w:t>
      </w:r>
    </w:p>
    <w:p>
      <w:r>
        <w:t>21. In a potential market for automobile vehicle trading, the notifying party estimates that the market share of the new entity would remain in any case well below [5-10] % at the European level, this activity also representing a very small share of the acquirer's turnover. The notifying party specifies that this activity is exclusively carried out through the company Groupe Bernard and represents approximately [0-5] % of the French turnover of this company.</w:t>
      </w:r>
    </w:p>
    <w:p>
      <w:r>
        <w:t>22. In the market for short-term rental of motor vehicles for leisure purposes, the combined market share of the parties in volume will remain below [0-5] %, at the national level and below [0-5] % at the local level.</w:t>
      </w:r>
    </w:p>
    <w:p>
      <w:r>
        <w:t>23. It follows from the above that the operation is not likely to harm competition.</w:t>
      </w:r>
    </w:p>
    <w:p>
      <w:r>
        <w:t>DECIDES</w:t>
      </w:r>
    </w:p>
    <w:p>
      <w:r>
        <w:t>Sole Article: The operation notified under number 15-121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