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https://www.autoritedelaconcurrence.fr/fr/decision-de-controle-des-concentrations/relative-la-prise-de-controle-exclusif-des-societes-du-3</w:t>
      </w:r>
    </w:p>
    <w:p>
      <w:r>
        <w:t>Pages translated : 4</w:t>
      </w:r>
    </w:p>
    <w:p/>
    <w:p>
      <w:r>
        <w:rPr>
          <w:b/>
        </w:rPr>
        <w:t>[Pages 1–3]</w:t>
      </w:r>
    </w:p>
    <w:p>
      <w:r>
        <w:t xml:space="preserve">FRENCH REPUBLIC  </w:t>
        <w:br/>
        <w:t xml:space="preserve">Decision No. 16-DCC-180 of November 18, 2016  </w:t>
        <w:br/>
        <w:t xml:space="preserve">regarding the exclusive control of the companies of the ECT group by  </w:t>
        <w:br/>
        <w:t xml:space="preserve">Chequers Partenaires SA  </w:t>
        <w:br/>
        <w:t xml:space="preserve">The Competition Authority,  </w:t>
        <w:br/>
        <w:t xml:space="preserve">Having regard to the notification file submitted in full to the merger service on October 14, 2016,  </w:t>
        <w:br/>
        <w:t xml:space="preserve">regarding the exclusive control of the ECT group by Chequers Partenaires SA,  </w:t>
        <w:br/>
        <w:t xml:space="preserve">formalized by an acquisition contract dated July 29, 2016;  </w:t>
        <w:br/>
        <w:t xml:space="preserve">Having regard to Book IV of the Commercial Code relating to the freedom of prices and competition, and  </w:t>
        <w:br/>
        <w:t xml:space="preserve">notably its Articles L. 430-1 to L. 430-7 and R. 461-1;  </w:t>
        <w:br/>
        <w:t xml:space="preserve">Having regard to the supplementary elements transmitted by the parties during the investigation;  </w:t>
        <w:br/>
        <w:t xml:space="preserve">Adopts the following decision:  </w:t>
        <w:br/>
        <w:t xml:space="preserve">I. The concerned companies and the operation  </w:t>
        <w:br/>
        <w:t xml:space="preserve">1. Chequers Partenaires SA (“Chequers”) is the management company of various professional private equity funds that invest in medium-sized companies, active in various sectors, including hair salons, cutting and printing systems, and the development and maintenance of green spaces. Chequers jointly controls, alongside the company AuGéFi, the company ECT, which is the subject of this operation. In 2014, Chequers also acquired the company ISS Espaces Verts (now Idverde), primarily active in the sector of creating and maintaining green spaces for public and private clients (excluding individuals). It also engages in activities related to the creation and maintenance of urban spaces, sports facilities, recreational areas, and various peripheral activities related to green spaces.  </w:t>
        <w:br/>
        <w:t xml:space="preserve">2. The ECT Group, consisting of the companies Financière ECT and Société d’Aménagement et de Valorisation de Terrains (hereinafter, “SAVT”), is primarily active in the sector of  </w:t>
        <w:br/>
        <w:t xml:space="preserve">1 See the decision of the Competition Authority No. 11-DCC-132 of August 30, 2011, regarding the joint control of the ECT group by Chequers Partenaires.  </w:t>
        <w:br/>
        <w:t>2 See the decision of the Competition Authority No. 14-DCC-24 of February 24, 2014, regarding the exclusive control of the company ISS Espaces Verts by Chequers Partenaires SA.</w:t>
      </w:r>
    </w:p>
    <w:p>
      <w:r>
        <w:t xml:space="preserve">the storage of inert waste in Île-de-France. It also carries out activities of collection, management of polluted waste, rehabilitation of quarries, development of golf courses, composting, as well as creation and maintenance of green spaces.  </w:t>
        <w:br/>
        <w:t xml:space="preserve">3. Under the terms of the acquisition contract concluded on July 29, 2016, Chequers Partenaires SA will acquire […] %* of the capital of the companies Financière ECT and Société d’Aménagement et de Valorisation de Terrains. As it results in the exclusive control of the companies Financière ECT and SAVT by Chequers Partenaires SA, the notified operation constitutes a concentration within the meaning of Article L. 430-1 of the Commercial Code.  </w:t>
        <w:br/>
        <w:t xml:space="preserve">4. The companies concerned together achieve a total worldwide turnover excluding tax of more than 150 million euros (Chequers: […] euros for the fiscal year ending December 31, 2015; ECT Group: […] euros for the fiscal year ending September 30, 2015). Each of these companies has achieved a turnover in France exceeding 50 million euros (Chequers: […] euros for the fiscal year ending December 31, 2015; ECT Group: […] euros for the fiscal year ending September 30, 2015).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Delimitation of relevant markets  </w:t>
        <w:br/>
        <w:t xml:space="preserve">1. The main activity of the financial company ECT consists of collecting, storing, and/or processing non-hazardous waste (household waste and inert waste). It also engages in a more marginal activity of land decontamination, rehabilitation of abandoned quarries, and creation and maintenance of green spaces. SAVT's activity involves the study, acquisition, operation, and management of certain real estate or property assets.  </w:t>
        <w:br/>
        <w:t xml:space="preserve">2. The main activity of Idverde consists of the creation and maintenance of green spaces. It also engages marginally in activities related to the creation and maintenance of urban spaces, sports facilities, recreational areas, as well as peripheral activities related to green spaces.  </w:t>
        <w:br/>
        <w:t xml:space="preserve">3. Consequently, the effects of the operation will be examined in the sector of creating and maintaining green spaces.  </w:t>
        <w:br/>
        <w:t xml:space="preserve">A. PRODUCT MARKETS  </w:t>
        <w:br/>
        <w:t xml:space="preserve">4. During the examination of a previous operation, the Authority considered distinguishing the market for creation from that for maintenance of green spaces, considering that creation contracts are one-off contracts while maintenance contracts can be multi-year. The Authority also considered a segmentation based on the nature of the clients, distinguishing private clientele from public clientele, the latter resorting to calls for tenders for the selection of its suppliers.  </w:t>
        <w:br/>
        <w:t xml:space="preserve">5. In this case, the company ECT Espaces Verts is only active in the Île-de-France region and offers its services solely to local public authorities. On the other hand, Idverde offers its services to public authorities and private sector companies throughout the national territory.  </w:t>
        <w:br/>
        <w:t xml:space="preserve">B. GEOGRAPHIC MARKET  </w:t>
        <w:br/>
        <w:t xml:space="preserve">5. The Authority considered that the market for the maintenance of green spaces for private clients (excluding individuals) could have a supra-regional or even national dimension.  </w:t>
        <w:br/>
        <w:t xml:space="preserve">6. In this case, the parties to the operation are simultaneously active in the Île-de-France region.  </w:t>
        <w:br/>
        <w:t xml:space="preserve">7. In any event, the question of the exact delimitation of the market for the creation and maintenance of green spaces can be left open as the conclusions of the competitive analysis remain unchanged regardless of the delimitation adopted.  </w:t>
        <w:br/>
        <w:t xml:space="preserve">III. Competitive analysis  </w:t>
        <w:br/>
        <w:t xml:space="preserve">6. The parties are only simultaneously present in the market for the creation and maintenance of green spaces in Île-de-France. In this market, the market share of the new entity is estimated at [10-20] %. In the segment of creating green spaces for public clients, where Idverde has the largest market share with [10-20] % of the Île-de-France market, the activity increment brought by ECT is marginal (an increase of less than [0-5] %). Similarly, in the segment of maintaining green spaces for public clients, the activity increment brought by ECT is only [0-5] %, with the new entity representing less than [10-20] % of the market in this segment.  </w:t>
        <w:br/>
        <w:t xml:space="preserve">7. It should finally be noted that the new entity will continue to face numerous operators, whether they are companies integrated into a network (such as Atalian or Segex) or local SMEs.  </w:t>
        <w:br/>
        <w:t xml:space="preserve">8. Given the above, the notified operation is not likely to harm competition in the markets for the creation and maintenance of green spaces.  </w:t>
        <w:br/>
        <w:t xml:space="preserve">4 ECT Espaces Verts is the subsidiary of GROUPE ECT that engages in the activity of creating and maintaining green spaces.  </w:t>
        <w:br/>
        <w:t xml:space="preserve">5 See the decision of the Competition Authority No. 14-DCC-24 of February 24, 2014, regarding the exclusive control of the company ISS Espaces Verts by Chequers Partenaires SA.  </w:t>
        <w:br/>
        <w:t>3</w:t>
      </w:r>
    </w:p>
    <w:p>
      <w:r>
        <w:rPr>
          <w:b/>
        </w:rPr>
        <w:t>[Pages 4–4]</w:t>
      </w:r>
    </w:p>
    <w:p>
      <w:r>
        <w:t xml:space="preserve">DECIDES  </w:t>
        <w:br/>
        <w:t xml:space="preserve">Sole Article: The operation notified under number 16-197 is authorized.  </w:t>
        <w:br/>
        <w:t xml:space="preserve">The Vice-President,  </w:t>
        <w:br/>
        <w:t xml:space="preserve">Claire Favre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