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https://www.autoritedelaconcurrence.fr/fr/decision-de-controle-des-concentrations/relative-la-prise-de-controle-exclusif-des-societes-du-5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22-DCC-60 of April 15, 2022  </w:t>
        <w:br/>
        <w:t xml:space="preserve">regarding the exclusive control acquisition of the ERI group companies by  </w:t>
        <w:br/>
        <w:t xml:space="preserve">Andera Partners  </w:t>
        <w:br/>
        <w:t xml:space="preserve">The Competition Authority,  </w:t>
        <w:br/>
        <w:t xml:space="preserve">Having regard to the complete notification file sent to the mergers department on March 31, 2022  </w:t>
        <w:br/>
        <w:t xml:space="preserve">concerning the acquisition of control of the ERI group by the company Andera Partners, formalized by a  </w:t>
        <w:br/>
        <w:t xml:space="preserve">transfer contract signed on March 2,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Financières de  </w:t>
        <w:br/>
        <w:t xml:space="preserve">l’Etoile, holding of the ERI group. The ERI group is composed of the companies ERI, Astem RIE, and  </w:t>
        <w:br/>
        <w:t xml:space="preserve">Catelia by the asset management company Andera Partners. The ERI group is active in the  </w:t>
        <w:br/>
        <w:t xml:space="preserve">sectors of technical services for building professionals, notably in the markets of  </w:t>
        <w:br/>
        <w:t xml:space="preserve">electrical engineering, finishing work, and multi-technical management and maintenance. The operation  </w:t>
        <w:br/>
        <w:t xml:space="preserve">constitutes a concentration operation within the meaning of Article L. 430-1 of the Commercial Code.  </w:t>
        <w:br/>
        <w:t xml:space="preserve">Given the turnover achieved by the concerned companies, the operation does not fall  </w:t>
        <w:br/>
        <w:t xml:space="preserve">under the jurisdiction of the European Union. On the other hand, the control thresholds mentioned  </w:t>
        <w:br/>
        <w:t xml:space="preserve">in I of Article L. 430-2 of the Commercial Code are exceeded. This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22-058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