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https://www.autoritedelaconcurrence.fr/fr/decision-de-controle-des-concentrations/relative-la-prise-de-controle-exclusif-des-societes-du-6</w:t>
      </w:r>
    </w:p>
    <w:p>
      <w:r>
        <w:t>Pages translated : 2</w:t>
      </w:r>
    </w:p>
    <w:p/>
    <w:p>
      <w:r>
        <w:rPr>
          <w:b/>
        </w:rPr>
        <w:t>[Pages 1–2]</w:t>
      </w:r>
    </w:p>
    <w:p>
      <w:r>
        <w:t xml:space="preserve">FRENCH REPUBLIC  </w:t>
        <w:br/>
        <w:t xml:space="preserve">Decision No. 24-DCC-152 of July 24, 2024  </w:t>
        <w:br/>
        <w:t>regarding the exclusive control acquisition of the companies of the Algo group, the company Chablon, and the company JED YARD by the company Goyard St-Honoré</w:t>
      </w:r>
    </w:p>
    <w:p>
      <w:r>
        <w:t>The Competition Authority,</w:t>
      </w:r>
    </w:p>
    <w:p>
      <w:r>
        <w:t>Having regard to the complete notification file submitted to the mergers department on July 9, 2024, concerning the exclusive control acquisition of the companies of the Algo group, the company Chablon, and the company JED YARD by the company Goyard St-Honoré, formalized by a memorandum of understanding dated February 1, 2024, amended by an addendum on April 24, 2024, to which a share transfer agreement was annexed;</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Goyard St-Honoré of the companies of the Algo group, the company Chablon, and the company JED YARD, which are active in the luxury leather goods manufacturing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24-122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