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https://www.autoritedelaconcurrence.fr/fr/decision-de-controle-des-concentrations/relative-la-prise-de-controle-exclusif-des-societes-du-7</w:t>
      </w:r>
    </w:p>
    <w:p>
      <w:r>
        <w:t>Pages translated : 2</w:t>
      </w:r>
    </w:p>
    <w:p/>
    <w:p>
      <w:r>
        <w:rPr>
          <w:b/>
        </w:rPr>
        <w:t>[Pages 1–2]</w:t>
      </w:r>
    </w:p>
    <w:p>
      <w:r>
        <w:t>FRENCH REPUBLIC</w:t>
        <w:br/>
        <w:t>Decision No. 26-DCC-64 of March 16, 2026</w:t>
        <w:br/>
        <w:t>regarding the exclusive control acquisition of the companies of the Allez group by</w:t>
        <w:br/>
        <w:t>the company Fonds de Consolidation et de Développement des Entreprises</w:t>
        <w:br/>
        <w:t>The Competition Authority,</w:t>
        <w:br/>
        <w:t>Having regard to the complete notification file submitted to the mergers department on February 26, 2026,</w:t>
        <w:br/>
        <w:t>concerning the exclusive control acquisition of the companies constituting the Allez group by the company Fonds de Consolidation et de Développement des Entreprises, formalized by a purchase agreement concluded on February 4, 2026;</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Fonds de Consolidation et de Développement des Entreprises of the companies constituting the Allez group, specialized in energy services and the installation of electrical equipment in professional buildings, serving an industrial and tertiary clientele.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26-042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