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w:t>
      </w:r>
    </w:p>
    <w:p>
      <w:r>
        <w:t>Pages translated : 6</w:t>
      </w:r>
    </w:p>
    <w:p/>
    <w:p>
      <w:r>
        <w:rPr>
          <w:b/>
        </w:rPr>
        <w:t>[Pages 1–3]</w:t>
      </w:r>
    </w:p>
    <w:p>
      <w:r>
        <w:t xml:space="preserve">FRENCH REPUBLIC  </w:t>
        <w:br/>
        <w:t xml:space="preserve">Decision No. 10-DCC-191 of December 20, 2010  </w:t>
        <w:br/>
        <w:t>regarding the exclusive control of the companies of the Théramex group by the Teva group</w:t>
      </w:r>
    </w:p>
    <w:p>
      <w:r>
        <w:t xml:space="preserve">The Competition Authority,  </w:t>
        <w:br/>
        <w:t xml:space="preserve">Having regard to the notification file submitted in full to the merger service on November 17, 2010, concerning the acquisition of shares of the companies Théramex SAM, Théramex Spa, and Monachem SAM by the company Teva, formalized by a share purchase agreement dated October 28, 2010;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Teva is a pharmaceutical group active in the development, production, and marketing of generic pharmaceuticals, "branded" specialty products, and active ingredients. Teva's main customers are wholesalers, pharmacies, and hospitals.  </w:t>
        <w:br/>
        <w:t xml:space="preserve">2. Théramex is a pharmaceutical group specialized in the development, production, and marketing of gynecological pharmaceuticals, particularly in the areas of contraception and treatments for gynecological infections, menstrual disorders, osteoporosis, or hormonal deficiencies. The Théramex group, currently owned by the Merck group, consists of three subsidiaries, Théramex Spa, Théramex SAM, and Monachem SAM. The customers of the Théramex group are primarily wholesalers and, to a lesser extent, pharmacies and hospitals.  </w:t>
        <w:br/>
        <w:t xml:space="preserve">3. The notified operation, formalized by a transfer protocol dated October 28, 2010, consists of the acquisition by Teva of the shares of the companies Théramex SAM, Théramex Spa, and Monachem SAM held respectively by Merck France and Merck Santé, Merck Germany, and Merck Italy. Following the notified operation, Teva will hold, through two subsidiaries, the companies Asaph and Teva Italia, all the shares of Théramex SAM, Théramex Spa, and Monachem SAM.  </w:t>
        <w:br/>
        <w:t>4. As it results in the acquisition of exclusive control of the Théramex group by Teva, the notified operation constitutes a concentration within the meaning of Article L. 430-1 of the Commercial Code. The companies concerned together achieve a total worldwide turnover of more than 150 million euros (Teva group1: 11.6 billion euros for the fiscal year ending December 31, 2009; Théramex group: [...] million euros for the same fiscal year). Each achieves a turnover in France exceeding 50 million euros (Teva group: [...] million euros for the fiscal year ending December 31, 2009; Théramex group: [...] million euros for the same fiscal year). Given these turnover figures, the operation does not have a Community dimension. However, the control thresholds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1. PRODUCT MARKETS  </w:t>
        <w:br/>
        <w:t xml:space="preserve">5. According to the practice of national and Community competition authorities, pharmaceutical markets can be segmented according to their therapeutic class with reference to the "Anatomical Therapeutic Chemical" (hereinafter "ATC") classification developed by the European Pharmaceutical Marketing Research Association (hereinafter "EphMRA") and used by International Medical Statistics (hereinafter "IMS"). This classification of medicines is hierarchical and contains 16 categories broken down into four levels, depending on the composition and therapeutic indications: the ATC1 level is the most general, and the ATC4 level is the most detailed. The third level of the classification ("ATC 3") groups medicines according to their therapeutic indications, that is to say, the intended use. This level is generally used as a starting point for analyzing the effects of a concentration operation by competition authorities, even if they may have been led to examine the effects of a concentration operation at the ATC4 classification level or to estimate market shares from different data in order to take into account substitutable products from the demand perspective.  </w:t>
        <w:br/>
        <w:t xml:space="preserve">6. Competition authorities have also made a distinction between prescription and over-the-counter medicines as well as between finished medicines and products under development. Finally, the European Commission has considered that generic medicines belong to the same market as reference medicines known as "branded" because they become substitutable after the expiration of patents, especially when the healthcare regulation system encourages their use2.  </w:t>
        <w:br/>
        <w:t xml:space="preserve">1 Including the company Ratiopharm, integrated into the Teva group in 2010 (see the European Commission decision COMP/M.5865 of August 3, 2010).  </w:t>
        <w:br/>
        <w:t>2 See the European Commission decision COMP/M.5476, Pfizer/Wyeth of July 17, 2009.</w:t>
      </w:r>
    </w:p>
    <w:p>
      <w:r>
        <w:t xml:space="preserve">a) Finished Product Markets  </w:t>
        <w:br/>
        <w:t xml:space="preserve">7. The parties to the transaction are simultaneously active in the pharmaceutical markets of ATC3 classes A12A, D1A, G1B, G3A, G3D, and M1A.  </w:t>
        <w:br/>
        <w:t xml:space="preserve">8. The A12A classification concerns products containing calcium used for the treatment of osteoporosis and calcium deficiencies. According to decision-making practice, the ATC3 level is appropriate for defining the relevant market for the concerned products. These include substitutable products, all generics, marketed in a market characterized by low entry barriers3.  </w:t>
        <w:br/>
        <w:t xml:space="preserve">9. The D1A classification includes dermatological antifungals. Without definitively resolving the question of the relevant market delineation, the European Commission noted that, if there was a certain degree of substitutability among the products included at the ATC3 classification level, it was imperfect, particularly with regard to the significant price differences between the concerned products4. The conclusions of the analysis being unaffected, it is not necessary to resolve this question in this case, and the impact of the operation will be examined at the ATC3 and ATC4 levels ("D1A1").  </w:t>
        <w:br/>
        <w:t xml:space="preserve">10. The G1B classification contains gynecological antifungals. These products are not subject to other subdivisions, and decision-making practice retains the ATC3 level to define the relevant market5.  </w:t>
        <w:br/>
        <w:t xml:space="preserve">11. The G3A classification groups systemic hormonal contraceptives. Decision-making practice has already had the opportunity to distinguish products of this class from a broader market encompassing all contraceptives. Similarly, decision-making practice has not considered it relevant to make finer delineations among systemic hormonal contraceptives6.  </w:t>
        <w:br/>
        <w:t xml:space="preserve">12. The G3D classification includes progestin replacement products used in the treatment of dysmenorrhea, menorrhagia, endometriosis, infertility, menopause, postpartum depression, and breast cancer. Decision-making practice has noted that these products are generally sold at dosages too high for contraceptive use, and therefore retained the ATC3 classification level7.  </w:t>
        <w:br/>
        <w:t>13. Finally, the M1A classification groups non-steroidal anti-rheumatics. Products of this class have been considered to form a relevant market on several occasions in decision-making practice8.</w:t>
      </w:r>
    </w:p>
    <w:p>
      <w:r>
        <w:t xml:space="preserve">b) Markets for Products Under Development  </w:t>
        <w:br/>
        <w:t xml:space="preserve">14. It follows from decision-making practice that the analysis of the structure of competition in the pharmaceutical sector requires taking into account products that are not yet on the market but are currently at an advanced stage of development, that is to say, at the stage of their final clinical trials (so-called "Phase III"). The competitive potential of these products with other products under development or products already on the market is essential for the analysis.  </w:t>
        <w:br/>
        <w:t xml:space="preserve">3 See the European Commission decision COMP/M.5295, Teva/Barr of December 19, 2008, §123.  </w:t>
        <w:br/>
        <w:t xml:space="preserve">4 European Commission decision COMP/M.5253, Sanofi-Aventis/Zentiva of February 4, 2009, §113.  </w:t>
        <w:br/>
        <w:t xml:space="preserve">5 European Commission decision COMP/M.4198, Bayer/Schering of May 24, 2006, §11.  </w:t>
        <w:br/>
        <w:t xml:space="preserve">6 European Commission decision IV/M.781, Schering/Gehe-Jenapharm of September 13, 1996, §17.  </w:t>
        <w:br/>
        <w:t xml:space="preserve">7 European Commission decision COMP/M.1835, Monsanto/Pharmacia &amp; Upjohn of March 30, 2000.  </w:t>
        <w:br/>
        <w:t>8 European Commission decisions COMP/M.1835 and COMP/M.5253 cited above.</w:t>
      </w:r>
    </w:p>
    <w:p>
      <w:r>
        <w:rPr>
          <w:b/>
        </w:rPr>
        <w:t>[Pages 4–6]</w:t>
      </w:r>
    </w:p>
    <w:p>
      <w:r>
        <w:t xml:space="preserve">the market can be examined based on their characteristics and the expected therapeutic indication. Thus, if these products are intended to replace existing products, the relevant markets can be defined by reference to existing ATC classes9.  </w:t>
        <w:br/>
        <w:t xml:space="preserve">15. In this case, [Confidential].  </w:t>
        <w:br/>
        <w:t xml:space="preserve">2. GEOGRAPHIC DELIMITATION  </w:t>
        <w:br/>
        <w:t xml:space="preserve">16. National and Community competition authorities consistently consider that, despite the trend towards market harmonization at the European level, pharmaceutical markets remain national in scope.  </w:t>
        <w:br/>
        <w:t xml:space="preserve">17. Regarding active pharmaceutical ingredients, decision-making practice consistently indicates that the geographic dimension of the markets on which these are marketed is certainly broader than that of pharmaceutical products, and possibly of global size10.  </w:t>
        <w:br/>
        <w:t xml:space="preserve">18. There is no reason to challenge these delimitations for the analysis of the effects of the present operation.  </w:t>
        <w:br/>
        <w:t xml:space="preserve">III. Competitive Analysis  </w:t>
        <w:br/>
        <w:t xml:space="preserve">19. Teva and Théramex are simultaneously active in the pharmaceutical sector, where they market finished products whose therapeutic indications fall under classes A12A, D1A, G1B, G3A, G3D, and M1A. They also operate in the pharmaceutical sector as manufacturers and sellers of active pharmaceutical ingredients. Finally, the parties develop new products as part of their research and development activities. The effects of the operation will therefore be examined in the markets for active pharmaceutical ingredients, finished products, and in the markets for products in the final phase of development.  </w:t>
        <w:br/>
        <w:t xml:space="preserve">1. MARKETS FOR ACTIVE PHARMACEUTICAL INGREDIENTS  </w:t>
        <w:br/>
        <w:t xml:space="preserve">20. Théramex produces three active ingredients that are sold to third parties, namely nomegestrol acetate, promestriene, and prednisolone. Teva also produces active ingredients, intended both for its own production and to be marketed to third parties, but in markets where Théramex has no activity. The operation will therefore not result in any overlap of activity in this regard.  </w:t>
        <w:br/>
        <w:t xml:space="preserve">21. Furthermore, the notifying party notes the existence of vertical relationships between the parties in that Teva distributes in France two finished products made from nomegestrol acetate (category G3D) and prednisolone (category H2A), two active ingredients marketed by Théramex to third parties. However, the new entity will have a market share estimated at [20-30]% in the G3D product market and Teva's market share is [0-5]% in the H2A product market.  </w:t>
        <w:br/>
        <w:t xml:space="preserve">22. Therefore, the operation is not likely to harm competition in the markets for active pharmaceutical ingredients.  </w:t>
        <w:br/>
        <w:t xml:space="preserve">2. MARKETS FOR FINISHED PRODUCTS  </w:t>
        <w:br/>
        <w:t xml:space="preserve">23. The European Commission has had the opportunity, in several decisions relating to the pharmaceutical sector, to dismiss the existence of competition risks when the overlap of the parties' activities gives the new entity a market share of less than 35%, or when the increment in market share resulting from the operation is less than 1%11.  </w:t>
        <w:br/>
        <w:t xml:space="preserve">24. In this case, in each of the markets concerned by the present operation, the new entity will hold an estimated market share of less than 35%:  </w:t>
        <w:br/>
        <w:t xml:space="preserve">Classification Teva Théramex Total  </w:t>
        <w:br/>
        <w:t xml:space="preserve">A12A [0-5]% [20-30]% [20-30]%  </w:t>
        <w:br/>
        <w:t xml:space="preserve">D1A [0-5]% [0-5]% [5-10]%  </w:t>
        <w:br/>
        <w:t xml:space="preserve">D1A1 [0-5]% [0-5]% [5-10]%  </w:t>
        <w:br/>
        <w:t xml:space="preserve">G1B [5-10]% [20-30]% [30-40]%  </w:t>
        <w:br/>
        <w:t xml:space="preserve">G3A [0-5]% [0-5]% [0-5]%  </w:t>
        <w:br/>
        <w:t xml:space="preserve">G3D [5-10]% [10-20]% [20-30]%  </w:t>
        <w:br/>
        <w:t xml:space="preserve">M1A [0-5]% [0-5]% [0-5]%  </w:t>
        <w:br/>
        <w:t xml:space="preserve">25. In each of these markets, the new entity will continue to face significant competitors. In particular, regarding the market for products in class G1B, in which the new entity will have a market share of [30-40]%, it will still face competition from major operators with a significant presence, such as Innothera ([10-20]%), Italfarmac ([10-20]%), Johnson &amp; Johnson ([10-20]%), and Mylan ([10-20]%).  </w:t>
        <w:br/>
        <w:t xml:space="preserve">26. The same applies to the market for products in class A12A, in which the new entity, with a market share of [20-30]%, will continue to face competition from operators such as Procter &amp; Gamble ([20-30]%), Expanscience ([5-10]%), Innothera ([5-10]%), Opocalcium ([5-10]%), and Pfizer ([5-10]%).  </w:t>
        <w:br/>
        <w:t xml:space="preserve">27. Finally, regarding the market for products in class G3D, in which the new entity will have a market share of [20-30]%, it will continue to face competition from operators such as Sanofi-Aventis ([10-20]%), Mylan ([10-20]%), Abbott ([10-20]%), Besins International ([10-20]%), and Servier ([10-20]%).  </w:t>
        <w:br/>
        <w:t xml:space="preserve">28. Therefore, the operation is not likely to harm competition in the markets for finished pharmaceutical products.  </w:t>
        <w:br/>
        <w:t xml:space="preserve">3. MARKETS FOR PRODUCTS IN THE FINAL PHASE OF DEVELOPMENT  </w:t>
        <w:br/>
        <w:t xml:space="preserve">29. The parties to the operation currently have several products in Phase III of development. [Confidential]. Nevertheless, given the marginal presence of the new entity in this market ([0-5]% market share), the marketing of these new products is not likely to alter the analysis made above.  </w:t>
        <w:br/>
        <w:t xml:space="preserve">30. Teva is also developing a product [Confidential]. However, the presence of significant competitors in this market allows for the dismissal of any risk of distorting competition.  </w:t>
        <w:br/>
        <w:t xml:space="preserve">31. Therefore, even taking into account products at an advanced stage of development, the operation is not likely to harm competition.  </w:t>
        <w:br/>
        <w:t xml:space="preserve">DECIDES  </w:t>
        <w:br/>
        <w:t xml:space="preserve">Sole Article: The operation notified under number 10-0199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