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https://www.autoritedelaconcurrence.fr/fr/decision-de-controle-des-concentrations/relative-la-prise-de-controle-exclusif-des-societes-dufour</w:t>
      </w:r>
    </w:p>
    <w:p>
      <w:r>
        <w:t>Pages translated : 13</w:t>
      </w:r>
    </w:p>
    <w:p/>
    <w:p>
      <w:r>
        <w:rPr>
          <w:b/>
        </w:rPr>
        <w:t>[Pages 1–3]</w:t>
      </w:r>
    </w:p>
    <w:p>
      <w:r>
        <w:t xml:space="preserve">FRENCH REPUBLIC  </w:t>
        <w:br/>
        <w:t xml:space="preserve">Decision No. 16-DCC-178 of November 15, 2016  </w:t>
        <w:br/>
        <w:t>regarding the exclusive control of the companies Dufour Sisteron, Ovimpex, and Ovimpex Distribution by the cooperative Arterris</w:t>
      </w:r>
    </w:p>
    <w:p>
      <w:r>
        <w:t xml:space="preserve">The Competition Authority,  </w:t>
        <w:br/>
        <w:t xml:space="preserve">Having regard to the notification file submitted in full to the merger service on October 11, 2016, regarding the exclusive control of the companies Dufour Sisteron, Ovimpex, and Ovimpex Distribution by the cooperative Arterris, formalized by three transfer protocols dated July 28,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Arterris is an agricultural cooperative whose capital is held by […] members and whose territory extends over the regions of Occitanie and Provence-Alpes-Côte d’Azur. Arterris is organized around three activity poles: (i) the "agricultural production" pole which includes activities related to plant production, seeds, animal production, the manufacture of animal feed, and agro-supply; (ii) the "distribution" pole which includes distribution activities in the green spaces sector, public distribution notably through a network of agricultural self-service stores operated under the Gamm Vert brand, and packaging and equipment; (iii) the "transformation and innovation" pole which includes milling and animal processing activities (slaughtering, cutting, canning, and trading of processed products), as well as research and development.  </w:t>
        <w:br/>
        <w:t>2. Dufour Sisteron is a public limited company specialized in the collection of sheep and cattle for slaughter, and the marketing of carcasses, fresh cut meat, and meat-based food products. Dufour Sisteron has also developed activities in the marketing of hides and skins and the manufacture of feet, packages, and bleached paunches.</w:t>
      </w:r>
    </w:p>
    <w:p>
      <w:r>
        <w:t xml:space="preserve">3. Ovimpex is a company primarily involved in the trading of carcasses, the cutting, and packaging of lamb and beef meat. Ovimpex also engages in poultry meat cutting and food product brokerage activities. Finally, Ovimpex Distribution is a simplified joint-stock company active in the purchase of live sheep and cattle for slaughter and the marketing of carcasses. It also markets fresh sheep and cattle meat by the cut and offal.  </w:t>
        <w:br/>
        <w:t xml:space="preserve">4. The transaction, formalized by three transfer protocols dated July 28, 2016, involves the acquisition by the company Arterris Vision, exclusively controlled by Arterris, of […] %1 of the shares of Dufour Sisteron and the entirety of the capital of Ovimpex and Ovimpex Distribution2.  </w:t>
        <w:br/>
        <w:t xml:space="preserve">5. These three transfers constitute interdependent operations that should be assessed within the framework of a single procedure. Indeed, the transfer protocol concerning Ovimpex Distribution stipulates that the transfer can only be carried out subject to the completion of the transfer of Dufour Sisteron. Similarly, the transfer protocol relating to Ovimpex stipulates that the transfer is subject to the suspensive condition of the completion of the transfers of Dufour Sisteron and Ovimpex Distribution. Furthermore, the three operations were concluded simultaneously on July 28, 2016, a circumstance that is taken into account in the consolidated communication of the European Commission to characterize interdependent operations3. Finally, the minutes of the board of directors of Arterris show that the three operations, considered simultaneously, are part of a global project aimed at building a high-performing upstream-downstream sector in the sheep and cattle sectors and rebalancing the plant and animal production activities of the Arterris group.  </w:t>
        <w:br/>
        <w:t xml:space="preserve">6. Insofar as it results in the exclusive control of Dufour Sisteron, Ovimpex, and Ovimpex Distribution by Arterris, the operation constitutes a concentration operation within the meaning of Article L. 430-1 of the Commercial Code.  </w:t>
        <w:br/>
        <w:t xml:space="preserve">7. The concerned companies together achieve a total turnover excluding taxes on a global scale of more than 150 million euros (Arterris: […] euros for the fiscal year ending June 30, 2015; Dufour Sisteron: […] euros for the fiscal year ending December 31, 2015; Ovimpex: […] euros for the same fiscal year; Ovimpex Distribution: […] euros for the same fiscal year). Arterris and Ovimpex each achieved in France a turnover exceeding 50 million euros (Arterris: […] euros for the fiscal year ending June 30, 2015; Ovimpex: […] euros for the fiscal year ending December 31, 2015).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1 Dufour SA will retain […] % of the capital of Dufour Sisteron. This participation will not give it any rights that could lead to control over Dufour Sisteron.  </w:t>
        <w:br/>
        <w:t xml:space="preserve">2 Prior to the operation, Dufour Sisteron and Ovimpex each hold a non-controlling stake of […] % in the capital of Ovimpex Distribution.  </w:t>
        <w:br/>
        <w:t>3 Paragraph 43 of the consolidated communication of the European Commission.</w:t>
      </w:r>
    </w:p>
    <w:p>
      <w:r>
        <w:t xml:space="preserve">II. Definition of the relevant markets  </w:t>
        <w:br/>
        <w:t xml:space="preserve">8. The parties are simultaneously active in the meat processing and marketing sector. In this sector, the decisional practice4 has segmented the different stages of meat processing, which correspond to the cycle of treatment of animals and their meat. The first processing corresponds to the collection for the slaughter of the animal, after which carcasses and by-products are obtained and sold. The second processing includes deboning and cutting of carcasses. The third processing consists of packaging ready-to-cook meat, intended for the final consumer. Finally, the fourth processing corresponds to the manufacture of processed meat products.  </w:t>
        <w:br/>
        <w:t xml:space="preserve">9. In the present case, the parties are only simultaneously active at the stages of first (A), second (B), and third processing (C).  </w:t>
        <w:br/>
        <w:t xml:space="preserve">A. THE FIRST PROCESSING  </w:t>
        <w:br/>
        <w:t xml:space="preserve">10. The first processing activities of the parties overlap only in the markets for the collection of live animals for slaughter (1) and the markets for the marketing of carcasses (2) and by-products (3).  </w:t>
        <w:br/>
        <w:t xml:space="preserve">1. THE COLLECTION OF LIVE ANIMALS FOR SLAUGHTER  </w:t>
        <w:br/>
        <w:t xml:space="preserve">a) Product Market  </w:t>
        <w:br/>
        <w:t xml:space="preserve">11. Consistently, national and community competition authorities5 consider that in the meat sector, there are as many distinct markets as there are species of animals slaughtered. Indeed, the sizes and weights of animals vary from one species to another, and slaughterhouses are generally equipped with specific equipment for each type of animal. In this case, the parties are simultaneously active in the collection of sheep and cattle.  </w:t>
        <w:br/>
        <w:t xml:space="preserve">12. Regarding the collection of sheep, the decisional practice has considered a distinction between the collection of sheep and the collection of lambs6. The third parties surveyed as part of the market test mostly believe that an additional segmentation should be made for the needs of the species, between standard lambs and lambs under the "Agneau de Sisteron" label, for which the activities of the parties overlap. To slaughter lambs under the "Agneau de Sisteron" label, slaughterhouses must indeed have an approval, certifying the slaughterhouse's ability to slaughter lambs according to the label's requirements, and be located in the Provence-Alpes-Côte d’Azur region or in the Drôme provençale. On the supply side, the breeders of Sisteron lambs are subject to a strict specification (choice of breeds).  </w:t>
        <w:br/>
        <w:t xml:space="preserve">4 See notably the letter from the Minister of Economy, Industry and Employment dated February 17, 2009, to the board of the Bigard company, regarding a concentration in the meat sector, C2008-100, and the decisions of the Competition Authority No. 13-DCC-172 of November 28, 2013, regarding the merger by absorption of the Géo cooperative by the Cavac cooperative, No. 11-DCC-68 of May 26, 2011, regarding the exclusive control of the companies Poujol Frères and Poujol Froid by the company Arcadie Sud-Ouest, No. 10-DCC-31 of April 14, 2010, regarding the exclusive control of assets of the Bigard group by the company C2 Développement (Terrena group), and No. 10-DCC-22 of March 8, 2010, regarding the exclusive control of the Spanghero company by the cooperative Lur Berri.  </w:t>
        <w:br/>
        <w:t xml:space="preserve">5 See notably the decision of the European Commission IV/M.1313 Danish Crown/Vestjyske Slagterier of March 9, 1999, and the decision of the Competition Authority No. 13-DCC-172 cited above.  </w:t>
        <w:br/>
        <w:t>6 See notably the decision of the European Commission IV/M.1313 Danish Crown/Vestjyske Slagterier of March 9, 1999, and the decision of the Competition Authority No. 13-DCC-172 cited above.</w:t>
      </w:r>
    </w:p>
    <w:p>
      <w:r>
        <w:rPr>
          <w:b/>
        </w:rPr>
        <w:t>[Pages 4–6]</w:t>
      </w:r>
    </w:p>
    <w:p>
      <w:r>
        <w:t xml:space="preserve">d'agneaux limité, extensive breeding, use of pastoral areas, feeding and nursing constraints, etc.) making Sisteron lamb not easily substitutable with standard lamb.  </w:t>
        <w:br/>
        <w:t xml:space="preserve">13. Regarding the collection of cattle, national decisional practice has recognized the existence of a primary segmentation between the collection of calves and the collection of other cattle. In the present case, the parties are active in both segments.  </w:t>
        <w:br/>
        <w:t xml:space="preserve">14. Furthermore, within the category of other cattle, decisional practice has considered segmenting between "young cattle," uncastrated male animals under two years old, and "heavy cattle," taking into account differences related to purchase price, quality, and the final destination of the meat from these two types of cattle. Additionally, concerning heavy cattle, decisional practice has deemed it relevant to segment the markets according to the conformation of the animal, due to differences in price, use, and final destination of the meat from dairy breed cattle on one hand, and meat breed cattle on the other. Heavy cattle are classified into five categories based on their conformation: E, U, R, O, and P. The O and P conformations primarily include livestock from the dairy herd, while the E, U, and R conformations primarily include meat breed cattle.  </w:t>
        <w:br/>
        <w:t xml:space="preserve">15. There is no need to rule on the exact delimitation of the markets in the present case, as the conclusions of the competitive analysis will remain unchanged regardless of the segmentation considered.  </w:t>
        <w:br/>
        <w:t xml:space="preserve">b) Geographic Market  </w:t>
        <w:br/>
        <w:t xml:space="preserve">16. Regarding the collection of sheep, it has been considered that the relevant geographic market could be of local or national dimension.  </w:t>
        <w:br/>
        <w:t xml:space="preserve">17. For Sisteron lamb, as the slaughtering of lambs in the Provence-Alpes-Côte d'Azur region or in Drôme provençale is a condition for obtaining the label, the competitive analysis will be conducted in this area. To date, the municipal slaughterhouse of Sisteron concentrates all the slaughtering of Sisteron lambs.  </w:t>
        <w:br/>
        <w:t xml:space="preserve">18. In contrast, for standard lambs and sheep, the market test has shown that the relevant geographic perimeter is broader. The trucks used for transporting animals can indeed travel up to 8 hours without requiring special equipment. Moreover, the sheep producers surveyed indicate that the cost of transport represents a small part of the selling price of their animals, as trucks can carry up to 500 lambs, and is therefore not a determining factor in the choice of collection operator. Finally, the data provided by collection operators show that they regularly and significantly collect lambs located several hundred kilometers from their slaughterhouses. The majority of sheep producers surveyed also indicate that, for non-labeled sheep, they market their production to slaughterhouses located throughout the territory.  </w:t>
        <w:br/>
        <w:t xml:space="preserve">19. The actual behavior of collection operators in a given area can nevertheless be specified with the data gathered on the actual location of the collected lambs. In distribution markets, it is generally considered that the catchment area of a point of sale can be limited to that which includes the customers representing 80% of the turnover of the point of sale or 80% of the customers of the point of sale, depending on the available data. The remainder is considered as occasional and non-significant clientele. This methodology can be used to determine the catchment areas of slaughterhouses.  </w:t>
        <w:br/>
        <w:t xml:space="preserve">20. In this case, Dufour Sisteron and Ovimpex Distribution, the only two parties to the operation active in the sheep collection market, both use the municipal slaughterhouse of Sisteron to slaughter the sheep they collect. The notifying party was able to identify a geographic area including the sheep farmers closest to this slaughterhouse that allows capturing 80% of the sheep that Dufour Sisteron and Ovimpex Distribution have slaughtered in Sisteron. This methodology has led to the identification of a relevant geographic market encompassing 18 departments in the regions of Occitanie, Provence-Alpes-Côte d'Azur, and Rhône-Alpes Auvergne.  </w:t>
        <w:br/>
        <w:t xml:space="preserve">21. Consequently, for standard sheep, the positions of the players in the downstream markets will be examined at the national and regional levels according to the methodology outlined above. For Sisteron lamb, the analysis will be conducted at the level of the Provence-Alpes-Côte d'Azur / Drôme provençale area.  </w:t>
        <w:br/>
        <w:t xml:space="preserve">22. Regarding the collection of cattle, decisional practice retains a regional dimension for the markets of cattle collection for slaughter, notably due to specific constraints on long-distance transport and quality considerations. Farmers tend to prefer selling their livestock to slaughterhouses located near their breeding sites, and slaughterhouses source the majority of their supply within a radius of 100 to 150 kilometers around their location, with the origin of the remainder depending on availability, seasons, and commercial opportunities. Given the existence of supply basins that are more or less wide depending on the size of the purchasing slaughterhouse, the competitive analysis is conducted on collection areas of 100/150 kilometers and 300 kilometers around the slaughterhouses.  </w:t>
        <w:br/>
        <w:t xml:space="preserve">2. CARCASSES OF MEAT FROM PRIMARY PROCESSING  </w:t>
        <w:br/>
        <w:t xml:space="preserve">a) Product Market  </w:t>
        <w:br/>
        <w:t xml:space="preserve">23. According to decisional practice, carcass markets must be segmented according to the type of animal from which the carcass originates. In the present case, the overlaps of activities concern the carcasses of sheep, cattle, and chickens.  </w:t>
        <w:br/>
        <w:t xml:space="preserve">24. Regarding cattle carcasses, decisional practice has considered, while leaving the question open, that this market could be segmented in the same way as that of the collection of live cattle for slaughter. The notifying party has analyzed the activities of the parties by adopting this segmentation. Similarly, three categories have been distinguished for sheep: standard lambs, labeled lambs (red labels, controlled designations of origin, protected geographical indications, etc.), and sheep. However, there is no need to rule on the relevance of this segmentation, as the conclusions of the competitive analysis will remain unchanged regardless of the hypothesis adopted.  </w:t>
        <w:br/>
        <w:t xml:space="preserve">25. Concerning chicken meat, decisional practice does not distinguish between primary, secondary, and tertiary processing and retains a single market for the marketing of fresh chicken meat. However, the Competition Authority has segmented this market based on the existence or absence of a label.  </w:t>
        <w:br/>
        <w:t xml:space="preserve">26. Finally, decisional practice has considered that each distribution channel used for the marketing of carcasses from primary processing (hypermarkets and supermarkets, hereinafter "GMS," food service, hereinafter "RHD," agri-food industries, hereinafter "IAA," and butchers-charcutiers-artisans, hereinafter "BCA") constitutes a distinct relevant market due to the existence of different needs according to the type of buyers (notably in terms of volumes, sizing, and corresponding packaging). An identical segmentation has been retained for the market of fresh chicken meat.  </w:t>
        <w:br/>
        <w:t xml:space="preserve">b) Geographic Market  </w:t>
        <w:br/>
        <w:t xml:space="preserve">27. Decisional practice has considered that the markets for carcasses of meat from primary processing are of national dimension.  </w:t>
        <w:br/>
        <w:t xml:space="preserve">3. BY-PRODUCTS  </w:t>
        <w:br/>
        <w:t xml:space="preserve">a) Product Market  </w:t>
        <w:br/>
        <w:t>28. National and community competition authorities have considered segmenting by-products between those suitable for human consumption (mainly offal), segmented by animal species and distribution channel, and those unsuitable for human consumption. Furthermore, decisional practice has noted the existence of a market for hides and skins that can be segmented by animal species.</w:t>
      </w:r>
    </w:p>
    <w:p>
      <w:r>
        <w:rPr>
          <w:b/>
        </w:rPr>
        <w:t>[Pages 7–9]</w:t>
      </w:r>
    </w:p>
    <w:p>
      <w:r>
        <w:t xml:space="preserve">b) Geographic Market  </w:t>
        <w:br/>
        <w:t xml:space="preserve">29. The decisional practice has considered that the markets for by-products are of national dimension.  </w:t>
        <w:br/>
        <w:t xml:space="preserve">B. THE SECONDARY PROCESSING  </w:t>
        <w:br/>
        <w:t xml:space="preserve">a) Product Market  </w:t>
        <w:br/>
        <w:t xml:space="preserve">30. Meats referred to as "secondary processed meats" are cut and/or deboned meats, often vacuum-packed for better preservation, and sold through various distribution channels to customers who will carry out further processing of this merchandise for presentation for sale (cutting, transformation into minced meat, etc.).  </w:t>
        <w:br/>
        <w:t xml:space="preserve">31. Within this market, the decisional practice operates a segmentation according to animal species. In the present case, the overlaps in activities between the parties concern beef, sheep, and pork meats.  </w:t>
        <w:br/>
        <w:t xml:space="preserve">32. Regarding beef meat, the decisional practice has considered that it may be relevant to distinguish between meat sold in the form of muscle and that sold in the form of mince. Muscle indeed comes from the same animal and is generally intended for the manufacture of meat cuts bearing different names according to the muscle concerned (flank, chuck, etc.), while mince, which constitutes the raw material for minced meat, is composed of a mix of various muscles and is often the result of blending meats from different animals.  </w:t>
        <w:br/>
        <w:t xml:space="preserve">33. Concerning sheep meat, the parties have proposed to segment this market in the same way as that of carcasses from the primary processing, distinguishing between standard lambs, label lambs, and sheep. However, there is no need to rule on the relevance of this additional segmentation, as, regardless of the hypothesis adopted, the conclusions of the competitive analysis will remain unchanged.  </w:t>
        <w:br/>
        <w:t xml:space="preserve">34. Finally, similar to the markets of primary processing, the markets of secondary processing have been segmented according to the distribution channel, regardless of the meat considered: GMS, BCA, IAA, and RHD.  </w:t>
        <w:br/>
        <w:t xml:space="preserve">35. In this case, it is not necessary to rule on the question of the exact delimitation of the market, as the conclusions of the competitive analysis will remain unchanged regardless of the delimitation adopted.  </w:t>
        <w:br/>
        <w:t xml:space="preserve">22 See in particular the decision of the Competition Authority No. 11-DCC-68 cited above.  </w:t>
        <w:br/>
        <w:t xml:space="preserve">23 See in particular the decisions C2008-100, competition No. 11-DCC-68 and No. 10-DCC-22 cited above. See also the decision of the European Commission COMP/M.3605 cited above.  </w:t>
        <w:br/>
        <w:t xml:space="preserve">24 See in particular the decision of the Minister of Economy C2008-100 cited above as well as the decisions of the Competition Authority No. 10-DCC-31 and No. 10-DCC-22 cited above.  </w:t>
        <w:br/>
        <w:t xml:space="preserve">25 See in particular the decisions of the Competition Authority No. 15-DCC-33 of March 20, 2015, regarding the exclusive control of certain assets of the Gad group by the Société Vitréenne d’Abattage Jean Roze and No. 11-DCC-154 of October 24, 2011, regarding the exclusive control of the company Financière du Forest by the Centrale Coopérative Agricole Bretonne.  </w:t>
        <w:br/>
        <w:t>26 See in particular the decisions of the Competition Authority No. 15-DCC-33, No. 11-DCC-68 and No. 10-DCC-22 cited above.</w:t>
      </w:r>
    </w:p>
    <w:p>
      <w:r>
        <w:t xml:space="preserve">b) Geographic Market  </w:t>
        <w:br/>
        <w:t xml:space="preserve">37. The decisional practice has analyzed the markets of secondary processing at the national level. However, it has also noted, for pork meat, the trend towards increasing transnational trade flows, which would suggest a broader geographic dimension than national.  </w:t>
        <w:br/>
        <w:t xml:space="preserve">38. In the present case, the question of the geographic dimension of these markets can remain open, as the conclusions of the competitive analysis will remain unchanged regardless of the hypothesis adopted.  </w:t>
        <w:br/>
        <w:t xml:space="preserve">C. THE TERTIARY PROCESSING  </w:t>
        <w:br/>
        <w:t xml:space="preserve">a) Product Market  </w:t>
        <w:br/>
        <w:t xml:space="preserve">39. Meats referred to as "tertiary processed meats" are ready-to-cook meats, packaged in the form of Industrial Consumer Sale Units ("UVCI") and directly presentable for sale. The markets for tertiary processed meat are segmented by species and by distribution channel. In the present case, the overlaps in activities between the parties concern beef and sheep meats.  </w:t>
        <w:br/>
        <w:t xml:space="preserve">40. Regarding beef meat sold under UVCI, the decisional practice has considered that minced steaks constitute a particular category of products, given their predominant share in total beef meat sales. Furthermore, it has made a distinction between fresh minced steaks and frozen minced steaks, due to the existence of price differences, sanitary production constraints, and preservation methods between these two types of products.  </w:t>
        <w:br/>
        <w:t xml:space="preserve">41. Concerning sheep meat, the parties have proposed to segment this market in the same way as those of first and second transformation meats. A distinction between standard lambs, label lambs, and sheep has therefore been considered. However, there is no need to rule on the relevance of this segmentation, as, regardless of the hypothesis adopted, the conclusions of the competitive analysis will remain unchanged.  </w:t>
        <w:br/>
        <w:t xml:space="preserve">42. Finally, regarding sales destined for GMS, the decisional practice has considered, while leaving the question open, a segmentation according to product positioning (manufacturer brand or MDF, distributor brand or MDD, hard discount brand or MHD, and first price brand or MPP). However, in this case, the question of market segmentation for meat sold under UVCI according to commercial positioning can be left open, as, regardless of the hypothesis adopted, the conclusions of the competitive analysis will remain unchanged.  </w:t>
        <w:br/>
        <w:t xml:space="preserve">27 Id.  </w:t>
        <w:br/>
        <w:t xml:space="preserve">28 See in particular the decisions of the Competition Authority No. 15-DCC-33 cited above.  </w:t>
        <w:br/>
        <w:t xml:space="preserve">29 See the decision of the Minister of Economy C2008-100 cited above and the decisions of the Competition Authority No. 15-DCC-33 and No. 11-DCC-68 cited above.  </w:t>
        <w:br/>
        <w:t xml:space="preserve">30 See the decision of the Minister of Economy C2008-100 cited above and the decision of the Competition Authority No. 11-DCC-68 cited above.  </w:t>
        <w:br/>
        <w:t>31 Id.</w:t>
      </w:r>
    </w:p>
    <w:p>
      <w:r>
        <w:t xml:space="preserve">b) Geographic Market  </w:t>
        <w:br/>
        <w:t xml:space="preserve">43. Regarding the markets of tertiary processing, the decisional practice has estimated that these markets have a national dimension. However, it has not excluded that the market for frozen minced steak may have a supranational dimension, while conducting an analysis at the national level on this market, which is then the most unfavorable hypothesis for the parties.  </w:t>
        <w:br/>
        <w:t xml:space="preserve">44. In the present case, the question of the geographic dimension of these markets can remain open, as the conclusions of the competitive analysis will remain unchanged regardless of the hypothesis adopted.  </w:t>
        <w:br/>
        <w:t xml:space="preserve">III. Competitive Analysis  </w:t>
        <w:br/>
        <w:t xml:space="preserve">45. The activities of the parties overlap at the stages of primary (A), secondary (B), and tertiary processing (C).  </w:t>
        <w:br/>
        <w:t xml:space="preserve">A. THE PRIMARY PROCESSING  </w:t>
        <w:br/>
        <w:t xml:space="preserve">46. The primary processing activities of the parties overlap only in the markets for the collection of live animals for slaughter (1) and the markets for the marketing of carcasses (2) and by-products (3).  </w:t>
        <w:br/>
        <w:t xml:space="preserve">1. THE COLLECTION OF LIVE ANIMALS FOR SLAUGHTER  </w:t>
        <w:br/>
        <w:t xml:space="preserve">47. Dufour Sisteron and Ovimpex Distribution are both active in the collection of sheep and cattle for slaughter. Arterris operates upstream in this market as a producer of live sheep and cattle. The operation therefore has horizontal (a) and vertical (b) effects.  </w:t>
        <w:br/>
        <w:t xml:space="preserve">a) Analysis of Horizontal Effects  </w:t>
        <w:br/>
        <w:t xml:space="preserve">48. Regarding the markets for the collection of cattle, the combined market share of the parties is less than [0-5]% at both the national and local levels, regardless of the market considered.  </w:t>
        <w:br/>
        <w:t xml:space="preserve">49. Concerning the collection of sheep, the combined market share of the parties is less than [5-10]% for standard lambs and sheep at the national level. In the area comprising the 18 departments concentrating 80% of the collection of Dufour Sisteron and Ovimpex Distribution, the combined market shares of the parties are less than [20-30]% and [5-10]% for these two categories of sheep. In this area, the parties are also faced with a significant number of competing operators, namely Arcadie, Bigard, Kerméné, Jean Rozé, Alazard and Roux, Joassan, and Giraud.  </w:t>
        <w:br/>
        <w:t>50. On the narrower segment of label lambs "Agneau de Sisteron," the new entity will hold a market share of nearly [80-90]% at the level of the Provence-Alpes-Côte.</w:t>
      </w:r>
    </w:p>
    <w:p>
      <w:r>
        <w:rPr>
          <w:b/>
        </w:rPr>
        <w:t>[Pages 10–12]</w:t>
      </w:r>
    </w:p>
    <w:p>
      <w:r>
        <w:t xml:space="preserve">d'Azur / Drôme Provençale. The market share increment resulting from the operation is, however, limited, as the market share of Ovimpex Distribution is less than [0-5] %.  </w:t>
        <w:br/>
        <w:t xml:space="preserve">51. Following the operation, Giraud will be the only competing operator of the new entity for Sisteron lambs, with a market share of approximately [10-20] %. This operator nonetheless indicates that it would be able to quickly increase its collection capacities without major additional costs. It also states that it is ready to welcome some of the suppliers of the new entity in the event that the latter lowers its purchase prices.  </w:t>
        <w:br/>
        <w:t xml:space="preserve">52. In the same vein, Joassan indicates that it would like to enter the Sisteron lamb market. Thus, if Sisteron lamb producers were to turn away from the new entity, Joassan states that it would be interested in collecting their lambs. Joassan specifies in this regard that it has all the necessary equipment to enter this market, which is the same as that used for the collection of standard lambs.  </w:t>
        <w:br/>
        <w:t xml:space="preserve">53. The company Alazard &amp; Roux also indicates that it would have the capacity to slaughter […] lambs under label per week in its slaughterhouse in Tarascon, which represents more than [10-20] % of Sisteron lamb production.  </w:t>
        <w:br/>
        <w:t xml:space="preserve">54. In general, the collection operators surveyed as part of the market test indicate that there are no specific barriers to entry in the Sisteron lamb market. Given that this market is experiencing significant growth, while the sheep market as a whole is in decline, other operators could thus be incentivized to enter the Sisteron lamb market to make their production tool profitable.  </w:t>
        <w:br/>
        <w:t xml:space="preserve">55. Finally, lamb producers have significant counter-power. Sisteron lamb producers are organized around two cooperatives: Agneau Soleil and Ciel Azur. Agneau Soleil represents [90-100] % of Sisteron lamb production and thus has significant market power with respect to the parties. Ciel Azur also appears to hold substantial negotiating power, as the price of its Sisteron lambs has increased, like that of Agneau Soleil, by [0-5] % per year over the last three years. It should be noted in this regard that this increase runs counter to the price variations observed for standard lamb. In any case, in the event that the new entity were to turn away from Ciel Azur, the latter would have alternative collection operators, at a minimum Giraud, Joassan, and Alazard &amp; Roux, who have expressed their desire to develop in the collection of Sisteron lambs and thus have collection capacities far exceeding its needs.  </w:t>
        <w:br/>
        <w:t xml:space="preserve">b) Analysis of Vertical Effects  </w:t>
        <w:br/>
        <w:t xml:space="preserve">56. A vertical concentration can restrict access to competition by making it more difficult to access the markets in which the new entity will be active, or even potentially excluding competitors or penalizing them by increasing their costs. This lock-in can target downstream markets when the integrated company refuses to sell an input to its downstream competitors. The lock-in strategy can also concern upstream markets when the downstream branch of the integrated company refuses to purchase the products of upstream manufacturers, thereby reducing their commercial outlets. The Competition Authority considers that it is unlikely that a company with a market share of less than 30% in a given market can lock in a downstream or upstream market.  </w:t>
        <w:br/>
        <w:t xml:space="preserve">57. In this case, Dufour Sisteron and Ovimpex Distribution are both active in the collection of sheep and cattle for slaughter. Arterris operates upstream as a producer of live cattle and sheep.  </w:t>
        <w:br/>
        <w:t xml:space="preserve">58. In terms of cattle, Arterris is a modest-sized producer. Its production represents less than [0-5] % of national production, regardless of the type of cattle considered. In the southwest of France, where Arterris's breeding activities are concentrated, it accounts for approximately [10-20] % of the production of calves and other cattle. In this area, there are also a significant number of competing cattle producers, including Unicor, Cemac, Luc Berri, Capel, Bovi BC, Vivadour, and Expalliance.  </w:t>
        <w:br/>
        <w:t xml:space="preserve">59. At the collection level, as previously indicated, Dufour Sisteron and Ovimpex Distribution hold a market share of less than [0-5] % in the cattle markets.  </w:t>
        <w:br/>
        <w:t xml:space="preserve">60. Under these conditions, the notified operation is not likely to restrict access to inputs or outlets in the cattle collection markets.  </w:t>
        <w:br/>
        <w:t xml:space="preserve">61. Regarding sheep, Arterris's production represents less than [5-10] % of national production, regardless of the type of sheep considered. In the southwest of France, where Arterris's breeding activities are concentrated, its share in sheep production does not exceed [20-30] %, regardless of the type of sheep considered. In this area, there are also a significant number of competing sheep producers, including Unicor, Sica 2G, Aprovia, Capel, and Terre Ovin. Competing collection operators therefore have alternative supply sources.  </w:t>
        <w:br/>
        <w:t xml:space="preserve">62. At the collection level, as previously indicated, the combined market shares of Dufour Sisteron and Ovimpex Distribution are less than [20-30] % and [5-10] % for standard lambs and sheep in the area comprising the 18 departments concentrating 80 % of the collection of Dufour Sisteron and Ovimpex Distribution. In this area, other collection operators are also active, namely Arcadie, Bigard, Kerméné, Jean Rozé, Alazard and Roux, Joassan, and Giraud, thus providing alternative outlets for producers of standard lambs and sheep.  </w:t>
        <w:br/>
        <w:t xml:space="preserve">63. As for lambs under the "Agneau de Sisteron" label, the operation does not strengthen the vertical integration of the new entity as Arterris does not produce Sisteron lambs.  </w:t>
        <w:br/>
        <w:t xml:space="preserve">64. However, there is a risk of foreclosure in this market. The new entity could use the market power of Dufour Sisteron and Ovimpex Distribution with respect to the Sisteron slaughterhouse, of which they represent [80-90] % of the slaughtered volumes, to obtain from this slaughterhouse that it dedicates itself exclusively to the slaughter of the new entity's sheep. Given the importance of Arterris's sheep production, it would be able to saturate the production capacities of the Sisteron slaughterhouse. Access for third parties to this slaughterhouse, which currently carries out all the slaughters of lambs under the "Agneau de Sisteron" label, and thus to the slaughtering capacities of Sisteron lambs, could therefore be compromised.  </w:t>
        <w:br/>
        <w:t xml:space="preserve">65. Such a scenario, however, seems unlikely. The management and operation of the Sisteron slaughterhouse is indeed a public service. The Société d’Exploitation de l’Abattoir de Sisteron, which has been granted a public service delegation, is therefore bound by the principle of equality of users before the public service. In this regard, in accordance with Article L. 1411-3 of the General Code of Local Authorities, it must produce each year to the delegating authority a report including, in particular, accounts detailing all operations related to the execution of the delegation and an analysis of the quality of service. This provision thus allows the municipality of Sisteron to ensure the proper execution of the public service delegation. Furthermore, the rates for slaughter services (fees paid by users) are set by the municipality of Sisteron, which de facto excludes any possibility for the operating company to discriminate against users in terms of pricing.  </w:t>
        <w:br/>
        <w:t xml:space="preserve">66. Beyond the obligations related to public service, the Sisteron town hall pays particular attention to the preservation of the "Agneau de Sisteron" sector. The call for applications for the renewal of this delegation starting from April 1, 2017, stipulates that the delegate must commit to contributing to the sustainability and maintenance of the "Sisteron" production and breeding sector and to take specific measures regarding the accessibility of local users to the delegated facilities and services. In the context of the call for tenders, candidates will provide any documents that guarantee this commitment, such as the projected volumes of animals to be slaughtered with each of their future partners and, if applicable, the commitments made with these partners. A monitoring committee for the operation of the slaughterhouse will also be established. Its mission will include addressing any complaints made by users of the slaughterhouse.  </w:t>
        <w:br/>
        <w:t xml:space="preserve">67. Under these conditions, the likelihood that the new entity could use its market power with respect to the Sisteron slaughterhouse to hinder access to the slaughterhouse for its competitors seems very low.  </w:t>
        <w:br/>
        <w:t xml:space="preserve">68. Consequently, the notified operation is not likely to harm competition through vertical effects.  </w:t>
        <w:br/>
        <w:t xml:space="preserve">2. CARCASSES OF MEAT FROM PRIMARY PROCESSING  </w:t>
        <w:br/>
        <w:t xml:space="preserve">69. In the markets for cattle carcasses and fresh chicken meat, the combined market share of the parties is less than [5-10] % and the market share increment resulting from the operation does not exceed [0-5] %, regardless of the market considered.  </w:t>
        <w:br/>
        <w:t xml:space="preserve">70. Regarding sheep carcasses, the combined market share of the parties is less than [10-20] % in the markets where there is an overlap of activity. Furthermore, the market share increment resulting from the operation does not exceed [0-5] %, regardless of the market considered. Finally, the new entity will continue to face a significant number of competitors, including Arcadie, Sodem, Bigard, or Macquet.  </w:t>
        <w:br/>
        <w:t xml:space="preserve">71. Consequently, the notified operation is not likely to harm competition in the meat carcass markets.  </w:t>
        <w:br/>
        <w:t xml:space="preserve">3. BY-PRODUCTS  </w:t>
        <w:br/>
        <w:t xml:space="preserve">72. The activities of the parties overlap only in by-products suitable for human consumption and hides and skins.  </w:t>
        <w:br/>
        <w:t xml:space="preserve">73. In the markets for hides and skins, the combined market share of the parties is less than [0-5] %, regardless of the market considered. Regarding the markets for by-products suitable for human consumption, the combined market share of the parties is less than [10-20] % and the market share increment resulting from the operation does not exceed [0-5] %, regardless of the market considered.  </w:t>
        <w:br/>
        <w:t>74. Consequently, the notified operation is not likely to harm competition in the by-products markets.</w:t>
      </w:r>
    </w:p>
    <w:p>
      <w:r>
        <w:rPr>
          <w:b/>
        </w:rPr>
        <w:t>[Pages 13–13]</w:t>
      </w:r>
    </w:p>
    <w:p>
      <w:r>
        <w:t xml:space="preserve">A. THE SECONDARY PROCESSING  </w:t>
        <w:br/>
        <w:t xml:space="preserve">75. In the markets for beef and pork meats, the combined market share of the parties is less than [10-20]% and the increment in market share resulting from the operation does not exceed [0-5]%, regardless of the market considered.  </w:t>
        <w:br/>
        <w:t xml:space="preserve">76. Regarding sheep meat, the combined market share of the parties is less than [20-30]% in the markets where there is an overlap of activity. Furthermore, the increment in market share resulting from the operation does not exceed [0-5]%, regardless of the market considered. Finally, the new entity will still face a significant number of competitors, including Arcadie, Sodem, Bigard, or Macquet.  </w:t>
        <w:br/>
        <w:t xml:space="preserve">77. Consequently, the notified operation is not likely to harm competition in the markets for tertiary processing.  </w:t>
        <w:br/>
        <w:t xml:space="preserve">B. THE TERTIARY PROCESSING  </w:t>
        <w:br/>
        <w:t xml:space="preserve">78. In the markets for beef meats, the combined market share of the parties does not exceed [0-5]%, regardless of the market considered.  </w:t>
        <w:br/>
        <w:t xml:space="preserve">79. Regarding sheep meat, the combined market share of the parties is less than [10-20]% in the markets where there is an overlap of activity. Furthermore, the increment in market share resulting from the operation does not exceed [0-5]%, regardless of the market considered. Finally, the new entity will still face a significant number of competitors, including Arcadie, Sodem, Bigard, or Fantou.  </w:t>
        <w:br/>
        <w:t xml:space="preserve">80. Consequently, the notified operation is not likely to harm competition in the markets for secondary processing.  </w:t>
        <w:br/>
        <w:t xml:space="preserve">DECIDES  </w:t>
        <w:br/>
        <w:t xml:space="preserve">Sole Article: The operation notified under number 16-097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