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https://www.autoritedelaconcurrence.fr/fr/decision-de-controle-des-concentrations/relative-la-prise-de-controle-exclusif-des-societes-elysee</w:t>
      </w:r>
    </w:p>
    <w:p>
      <w:r>
        <w:t>Pages translated : 2</w:t>
      </w:r>
    </w:p>
    <w:p/>
    <w:p>
      <w:r>
        <w:rPr>
          <w:b/>
        </w:rPr>
        <w:t>[Pages 1–2]</w:t>
      </w:r>
    </w:p>
    <w:p>
      <w:r>
        <w:t>FRENCH REPUBLIC</w:t>
        <w:br/>
        <w:t>Decision No. 23-DCC-248 of December 14, 2023</w:t>
        <w:br/>
        <w:t>regarding the exclusive control acquisition of Élysée Automobiles, Élysée Est Autos, and Élysée Automobiles 77 by the Emil Frey group</w:t>
        <w:br/>
        <w:t>The Competition Authority,</w:t>
        <w:br/>
        <w:t>Having regard to the notification file sent to the mergers department on November 17, 2023, declared complete on December 5, 2023, concerning the exclusive control acquisition of Élysée Automobiles, Élysée Est Autos, and Élysée Automobiles 77 by the Emil Frey group, formalized by a letter of intent dated November 7,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Emil Frey group of the companies Élysée Automobiles, Élysée Est Autos, and Élysée Automobiles 77, which operate six automotive distribution business establishments located in the departments of Paris (75), Seine-et-Marne (77), and Val-de-Marne (94).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23-303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