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https://www.autoritedelaconcurrence.fr/fr/decision-de-controle-des-concentrations/relative-la-prise-de-controle-exclusif-des-societes-eryma</w:t>
      </w:r>
    </w:p>
    <w:p>
      <w:r>
        <w:t>Pages translated : 6</w:t>
      </w:r>
    </w:p>
    <w:p/>
    <w:p>
      <w:r>
        <w:rPr>
          <w:b/>
        </w:rPr>
        <w:t>[Pages 1–3]</w:t>
      </w:r>
    </w:p>
    <w:p>
      <w:r>
        <w:t xml:space="preserve">FRENCH REPUBLIC  </w:t>
        <w:br/>
        <w:t xml:space="preserve">Decision No. 11-DCC-22 of February 17, 2011  </w:t>
        <w:br/>
        <w:t>regarding the exclusive control of Eryma Security Systems and Eryma Télésurveillance by the Société Financière de Participation Industrielle</w:t>
      </w:r>
    </w:p>
    <w:p>
      <w:r>
        <w:t xml:space="preserve">The Competition Authority,  </w:t>
        <w:br/>
        <w:t xml:space="preserve">Having regard to the notification file sent to the merger service on December 10, 2010, and declared complete on January 17, 2011, regarding the exclusive control by the Société Financière de Participation Industrielle of the companies Eryma Security Systems and Eryma Télésurveillance, formalized by the judgments of the Commercial Court of Nanterre dated December 21, 2010;  </w:t>
        <w:br/>
        <w:t xml:space="preserve">Having regard to Book IV of the Commercial Code relating to the freedom of prices and competition, and in particular its Articles L.430-1 to L.430-7;  </w:t>
        <w:br/>
        <w:t xml:space="preserve">Having regard to the supplementary elements transmitted by the parties during the investigation;  </w:t>
        <w:br/>
        <w:t>Adopts the following decision:</w:t>
      </w:r>
    </w:p>
    <w:p>
      <w:r>
        <w:t xml:space="preserve">I. The companies concerned and the operation  </w:t>
        <w:br/>
        <w:t xml:space="preserve">1. The Société Financière de Participation Industrielle, a simplified joint-stock company (hereinafter "SFPI"), is the parent company of the SFPI group (hereinafter "the SFPI group"). The SFPI group is an industrial group whose subsidiaries are involved in the production and sale of equipment goods for buildings and industry. It notably includes the company MAC (hereinafter "MAC") which operates, through its own subsidiaries, the companies France Fermetures and Franciaflex, in the manufacture and sale of custom closures and custom glass walls, as well as the company Securidev, whose subsidiaries are active in the production and marketing of locks and access controls for the protection of property and individuals.  </w:t>
        <w:br/>
        <w:t>2. SFPI also holds control of the company Expansion Partenaires, a simplified joint-stock company, which will carry out the operation, together with the subsidiary it will create for the occasion, the company Eryma SAS, a simplified joint-stock company.</w:t>
      </w:r>
    </w:p>
    <w:p>
      <w:r>
        <w:t xml:space="preserve">3. The company Eryma Group is at the head of the Eryma group and holds exclusive control over the companies Eryma Security Systems (hereinafter "ESS") and Eryma Télésurveillance (hereinafter "ETS"). These companies operate, through their subsidiaries Anjou Sécurité, CDTM, and ATTI, in the sector of security solutions integration, which includes: i) the provision of comprehensive security solutions requiring supervision systems, video surveillance, access control, and intrusion detection; ii) the manufacture of peripheral intrusion detection products; iii) the provision of services associated with a security system; and iv) remote monitoring.  </w:t>
        <w:br/>
        <w:t xml:space="preserve">4. By judgment dated November 2, 2010, the Commercial Court of Nanterre opened collective proceedings for the benefit of ESS and ETS. SFPI submitted, on December 3 and 9, 2010, a takeover offer in the asset transfer plan of ESS and ETS. By three judgments dated December 21, 2010, the Commercial Court of Nanterre designated SFPI as the acquirer. Following the operation, the shares of the company ETS will thus be held by the company Expansion Partenaires and the assets of the company ESS by Eryma SAS.  </w:t>
        <w:br/>
        <w:t xml:space="preserve">5. Insofar as it results in the exclusive control of the Eryma group by the SFPI group, the notified operation constitutes a concentration operation within the meaning of Article L.430-1 of the Commercial Code.  </w:t>
        <w:br/>
        <w:t>6. The companies concerned together achieve a total worldwide turnover of more than 150 million euros (SFPI: 434 million euros for the fiscal year ending December 31, 2009; Eryma Group: 63.3 million euros for the same year). Each achieves, in France, a turnover exceeding 50 million euros (SFPI: 259 million euros for the fiscal year ending December 31, 2009; Eryma Group: 53.1 million euros for the same year).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DELIMITATION OF THE RELEVANT SERVICE MARKETS  </w:t>
        <w:br/>
        <w:t xml:space="preserve">7. The parties not being present in the same markets, the operation does not entail any horizontal overlap. Nevertheless, the locksmithing sector and the closure sector, in which SFPI is active through its subsidiaries Securidev and France Fermetures, are located upstream of the sectors of electronic surveillance equipment and remote monitoring in which the target companies operate. These markets will therefore be presented as part of an analysis of the vertical effects of the proposed operation.  </w:t>
        <w:br/>
        <w:t xml:space="preserve">1. MARKETS IN THE SECURITY SECTOR  </w:t>
        <w:br/>
        <w:t xml:space="preserve">8. The security sector concerns "all means, human or technical, implemented to, on the one hand, prevent the material and physical risks to which companies or individuals are exposed and, on the other hand, respond in case of an incident."1 The national and community competition authorities have identified in their decision-making practice four markets related to this sector of activity2: i) the market for security services for air transport; ii) the market for guarding services; iii) the market for electronic surveillance equipment; iv) the market for remote monitoring.  </w:t>
        <w:br/>
        <w:t xml:space="preserve">9. In this case, only ESS and its subsidiaries are active in the installation of electronic surveillance equipment, particularly access controls, and only ETS and its subsidiary ATTI operate in the remote monitoring market.  </w:t>
        <w:br/>
        <w:t xml:space="preserve">a) Electronic surveillance equipment  </w:t>
        <w:br/>
        <w:t xml:space="preserve">10. The market for electronic surveillance equipment covers the activities of installation and maintenance of electronic security systems that ensure various functions such as alarm and intrusion detection, video surveillance (closed-circuit television equipment), or access control.  </w:t>
        <w:br/>
        <w:t xml:space="preserve">11. National practice has thus identified four segments within this market3: i) access control; ii) video surveillance; iii) alarm; and iv) intrusion detection. Indeed, "depending on the level of security they desire, companies will choose one or more of the above subsystems that can be combined to ensure optimal protection. These systems thus appear more complementary than substitutable for the final consumer."4 Practice has also left open the identification of a fire safety segment5.  </w:t>
        <w:br/>
        <w:t xml:space="preserve">b) Remote monitoring  </w:t>
        <w:br/>
        <w:t xml:space="preserve">12. Remote monitoring is "a continuous service by which premises are monitored remotely by a monitoring center, triggering, if necessary, a pre-agreed human intervention with the client."6 Remote monitoring is therefore distinct from video surveillance. Practice has considered, without however resolving the issue, the possibility of segmenting this market between remote monitoring for professionals and remote monitoring for individuals7.  </w:t>
        <w:br/>
        <w:t xml:space="preserve">13. In this case, however, the question of the precise delimitation of the remote monitoring market can be left open insofar as, regardless of the delimitation retained, the conclusions of the competitive analysis will remain unchanged.  </w:t>
        <w:br/>
        <w:t xml:space="preserve">1 Decision No. 10-DCC-20 of February 24, 2010, regarding the acquisition of ADT France by the Stanley Works group and opinion of the Competition Council No. 99-A-03 of January 26, 1999, regarding the acquisition of the company Proteg by the company Securitas AB.  </w:t>
        <w:br/>
        <w:t xml:space="preserve">2 Preceding Decision No. 10-DCC-20; decisions of the European Commission of January 31, 2008, COMP/M.4986 EQT V / Securitas Direct; COMP/M.4671 UTC / Initial ESG of June 25, 2007, and May 28, 2004, COMP/M.3396 Group 4 Flack / Securicor.  </w:t>
        <w:br/>
        <w:t xml:space="preserve">3 Preceding Decision No. 10-DCC-20.  </w:t>
        <w:br/>
        <w:t xml:space="preserve">4 Letter from Minister C2006-35 of April 27, 2006, to the board of the company Honeywell regarding a concentration in the security systems sector.  </w:t>
        <w:br/>
        <w:t xml:space="preserve">5 Preceding Decision No. 10-DCC-20.  </w:t>
        <w:br/>
        <w:t xml:space="preserve">6 Id..  </w:t>
        <w:br/>
        <w:t>7 Letter C2004-153 of October 26, 2005, to the boards of the Securitas group regarding a concentration in the cash transport and valuables processing sector.</w:t>
      </w:r>
    </w:p>
    <w:p>
      <w:r>
        <w:rPr>
          <w:b/>
        </w:rPr>
        <w:t>[Pages 4–6]</w:t>
      </w:r>
    </w:p>
    <w:p>
      <w:r>
        <w:t>2. LOCKSMITHING</w:t>
      </w:r>
    </w:p>
    <w:p>
      <w:r>
        <w:t>14. The Competition Council recalled that the locks and hardware sector includes locks for automobiles and other vehicles, complete locks and cylinders, padlocks and bolts for buildings, furniture, and hardware. It distinguished a market for building locks "which encompasses a wide variety of product categories" and a market for electronic locks, which are intended "for equipping professional buildings for which they allow access control functions, such as access memory, that exceed the functions of a mechanical lock"8.</w:t>
      </w:r>
    </w:p>
    <w:p>
      <w:r>
        <w:t>15. It is not necessary to challenge this definition on the occasion of the present operation, as the conclusions of the analysis remain unchanged regardless of the delimitations retained.</w:t>
      </w:r>
    </w:p>
    <w:p>
      <w:r>
        <w:t>3. GRILLES AND CURTAINS</w:t>
      </w:r>
    </w:p>
    <w:p>
      <w:r>
        <w:t>16. The notifying parties suggest that there exists a market for grilles and curtains. Indeed, in a decision regarding the acquisition of MAC by SFPI9, the minister had considered, without however resolving the issue, the existence of a market for "metal curtains and (...) closing grilles that are intended to be installed to secure businesses and industrial sites."</w:t>
      </w:r>
    </w:p>
    <w:p>
      <w:r>
        <w:t>17. In this case, however, the question of the precise delimitation of such a market can be left open insofar as, regardless of the delimitation retained, the conclusions of the competitive analysis will remain unchanged. Only MAC is active in this sector.</w:t>
      </w:r>
    </w:p>
    <w:p>
      <w:r>
        <w:t>B. GEOGRAPHICAL MARKETS</w:t>
      </w:r>
    </w:p>
    <w:p>
      <w:r>
        <w:t>1. MARKETS IN THE SECURITY SECTOR</w:t>
      </w:r>
    </w:p>
    <w:p>
      <w:r>
        <w:t>c) Electronic Surveillance Equipment</w:t>
      </w:r>
    </w:p>
    <w:p>
      <w:r>
        <w:t>18. According to the community and national competition authorities10, the market for electronic surveillance equipment is of national dimension. This delimitation is explained by regulatory and linguistic differences between states, as well as by consumers' preference for operators with a local reputation.</w:t>
      </w:r>
    </w:p>
    <w:p>
      <w:r>
        <w:t>19. In this case, there is no need to challenge this delimitation. The competitive analysis regarding the market for electronic surveillance equipment as well as any potential segments of this market will therefore be conducted at the national level.</w:t>
      </w:r>
    </w:p>
    <w:p>
      <w:r>
        <w:t>d) Remote Monitoring</w:t>
      </w:r>
    </w:p>
    <w:p>
      <w:r>
        <w:t>20. The Competition Council emphasized that even though the combination of agent intervention services and remote monitoring services raises the question of the geographical location of intervention teams within the national territory, as sending an intervention agent implies proximity to the site being monitored, the dimension of the remote monitoring market was national, with the majority of companies resorting to subcontracting for local interventions11. The national dimension of the remote monitoring market and its potential segments has been subsequently confirmed by decision-making practice. Consequently, the competitive analysis regarding the remote monitoring market will be conducted at the national level12.</w:t>
      </w:r>
    </w:p>
    <w:p>
      <w:r>
        <w:t>2. LOCKSMITHING</w:t>
      </w:r>
    </w:p>
    <w:p>
      <w:r>
        <w:t>21. The Competition Council emphasized that in the absence of European standardization and considering the differences between practices and habits from one country to another, the locksmithing markets were "still largely national"13. There is no need to challenge this delimitation in the present case.</w:t>
      </w:r>
    </w:p>
    <w:p>
      <w:r>
        <w:t>3. GRILLES AND CURTAINS</w:t>
      </w:r>
    </w:p>
    <w:p>
      <w:r>
        <w:t>22. The notifying parties propose to retain a market of national dimension, given the specificities of French constructions and transportation costs. In this case, however, the question of the precise delimitation of such a market can be left open as the conclusions of the competitive analysis will remain unchanged regardless of the delimitation retained.</w:t>
      </w:r>
    </w:p>
    <w:p>
      <w:r>
        <w:t>III. Competitive Analysis</w:t>
      </w:r>
    </w:p>
    <w:p>
      <w:r>
        <w:t>23. In this case, in the absence of horizontal overlap of activities, the analysis will focus on the potential vertical effects of the operation.</w:t>
      </w:r>
    </w:p>
    <w:p>
      <w:r>
        <w:t>24. A vertical concentration can restrict competition in upstream markets when the downstream branch of the integrated company refuses to purchase products from upstream operators, thereby reducing their commercial outlets. Such a concentration can also restrict competition in downstream markets when the new entity active upstream refuses to sell its products to downstream players.</w:t>
      </w:r>
    </w:p>
    <w:p>
      <w:r>
        <w:t>25. In this case, security solution integrators such as ESS are likely to source locks, grilles, and curtains from the SFPI group, in order to ensure their installation as part of their activities.</w:t>
      </w:r>
    </w:p>
    <w:p>
      <w:r>
        <w:t>26. ESS, which only engages in the installation of electronic locks as part of its activities in the electronic surveillance equipment sector, may therefore use products manufactured by SFPI such as electronic locks or electronically controlled latches. However, SFPI represents only [5-10]% of the locksmithing market and [10-20]% of the electronic locks segment alone. Furthermore, it holds only a market share of [10-20]% in the grilles and curtains market.</w:t>
      </w:r>
    </w:p>
    <w:p>
      <w:r>
        <w:t>27. Downstream, the Eryma group represents only [5-10]% of the electronic surveillance equipment sector. More specifically, ESS generates only 30% of its revenue in the access control segment and holds a weak position in this segment. ESS remains a modest buyer of the relevant products. Finally, the new entity will continue to face competition from companies such as Easydentic, CDVI, or Kaba, which are both manufacturers and installers.</w:t>
      </w:r>
    </w:p>
    <w:p>
      <w:r>
        <w:t>28. Given the market shares of the new entity and the structure of the relevant markets, both upstream and downstream, the parties will not have the capacity, nor will they be incentivized to implement a locking strategy. The present operation is therefore not likely to harm competition through vertical effects.</w:t>
      </w:r>
    </w:p>
    <w:p>
      <w:r>
        <w:t>DECIDES</w:t>
      </w:r>
    </w:p>
    <w:p>
      <w:r>
        <w:t>Sole Article: The operation notified under number 10-0228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