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https://www.autoritedelaconcurrence.fr/fr/decision-de-controle-des-concentrations/relative-la-prise-de-controle-exclusif-des-societes-esterel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15-DCC-87 of July 8, 2015  </w:t>
        <w:br/>
        <w:t xml:space="preserve">regarding the exclusive control acquisition of Esterel Holding and  </w:t>
        <w:br/>
        <w:t xml:space="preserve">New Cto by the company Gueudet Frères  </w:t>
        <w:br/>
        <w:t xml:space="preserve">The Competition Authority,  </w:t>
        <w:br/>
        <w:t xml:space="preserve">Having regard to the notification file sent to the mergers department on May 29, 2015, and declared  </w:t>
        <w:br/>
        <w:t xml:space="preserve">complete on June 19, 2015, concerning the exclusive control acquisition of Esterel Holding and  </w:t>
        <w:br/>
        <w:t xml:space="preserve">New Cto by the company Gueudet Frères, formalized by a memorandum of understanding dated June 2,  </w:t>
        <w:br/>
        <w:t xml:space="preserve">2015;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Esterel Holding, at the  </w:t>
        <w:br/>
        <w:t xml:space="preserve">head of the Guillummette group, and New Cto, active in the distribution of industrial vehicles  </w:t>
        <w:br/>
        <w:t xml:space="preserve">of the Renault Trucks brand in the departments of Oise (60) and Aisne (02), by the  </w:t>
        <w:br/>
        <w:t xml:space="preserve">company Gueudet Frères, specialized in the distribution of automobiles, industrial vehicles,  </w:t>
        <w:br/>
        <w:t xml:space="preserve">and agricultural vehicles in several departments. This operation constitutes  </w:t>
        <w:br/>
        <w:t xml:space="preserve">a concentration within the meaning of Article L. 430-1 of the Commercial Code. Given the  </w:t>
        <w:br/>
        <w:t xml:space="preserve">turnover achieved by the companies concerned, the operation does not fall under the  </w:t>
        <w:br/>
        <w:t xml:space="preserve">competence of the European Union. On the other hand, the retail control thresholds mentioned in  </w:t>
        <w:br/>
        <w:t xml:space="preserve">point II of Article L. 430-2 of the Commercial Code are exceeded. The  </w:t>
        <w:br/>
        <w:t xml:space="preserve">present operation is therefore subject to the provisions of Articles L. 430-3 and following of the  </w:t>
        <w:br/>
        <w:t xml:space="preserve">Commercial Code relating 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15-088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