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https://www.autoritedelaconcurrence.fr/fr/decision-de-controle-des-concentrations/relative-la-prise-de-controle-exclusif-des-societes-etoile</w:t>
      </w:r>
    </w:p>
    <w:p>
      <w:r>
        <w:t>Pages translated : 2</w:t>
      </w:r>
    </w:p>
    <w:p/>
    <w:p>
      <w:r>
        <w:rPr>
          <w:b/>
        </w:rPr>
        <w:t>[Pages 1–2]</w:t>
      </w:r>
    </w:p>
    <w:p>
      <w:r>
        <w:t xml:space="preserve">REPUBLIC OF FRANCE  </w:t>
        <w:br/>
        <w:t xml:space="preserve">Decision No. 18-DCC-06 of January 12, 2018  </w:t>
        <w:br/>
        <w:t xml:space="preserve">regarding the exclusive control acquisition of the companies Étoile Occitane Toulouse and Étoile Occitane Albi Castres by the company LG Automobiles  </w:t>
        <w:br/>
        <w:t xml:space="preserve">The Competition Authority,  </w:t>
        <w:br/>
        <w:t xml:space="preserve">Having regard to the complete notification file submitted to the mergers department on December 22, 2017, concerning the exclusive control acquisition of the companies Étoile Occitane Toulouse and Étoile Occitane Albi Castres by the company LG Automobiles, formalized by two share transfer agreements dated December 15,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LG Automobiles, of the exclusive control of the companies Étoile Occitane Toulouse and Étoile Occitane Albi Castres. It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 xml:space="preserve">2. The markets concerned by the operation are the automobile distribution markets, which are consistently defined by the decision-making practice of the Competition Authority.  </w:t>
        <w:br/>
        <w:t xml:space="preserve">3. Regardless of the segmentations retained, the estimated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17-278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