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https://www.autoritedelaconcurrence.fr/fr/decision-de-controle-des-concentrations/relative-la-prise-de-controle-exclusif-des-societes-euro</w:t>
      </w:r>
    </w:p>
    <w:p>
      <w:r>
        <w:t>Pages translated : 2</w:t>
      </w:r>
    </w:p>
    <w:p/>
    <w:p>
      <w:r>
        <w:rPr>
          <w:b/>
        </w:rPr>
        <w:t>[Pages 1–2]</w:t>
      </w:r>
    </w:p>
    <w:p>
      <w:r>
        <w:t xml:space="preserve">FRENCH REPUBLIC  </w:t>
        <w:br/>
        <w:t xml:space="preserve">Decision No. 21-DCC-223 of December 2, 2021  </w:t>
        <w:br/>
        <w:t xml:space="preserve">regarding the exclusive control acquisition of the companies Euro Service Auto and Moto Plus by Grim Holding  </w:t>
        <w:br/>
        <w:t xml:space="preserve">The Competition Authority,  </w:t>
        <w:br/>
        <w:t xml:space="preserve">Having regard to the complete notification file submitted to the mergers department on November 16, 2021, concerning the exclusive control acquisition of the companies Euro Service Auto and Moto Plus by Grim Holding, formalized by two share transfer and acquisition agreements signed on October 29, 2021;  </w:t>
        <w:br/>
        <w:t xml:space="preserve">Having regard to Book IV of the Commercial Code relating to the freedom of prices and competition, and in particular its Articles L. 430-1 to L. 430-7;  </w:t>
        <w:br/>
        <w:t xml:space="preserve">Having regard to the additional elements provided by the notifying party during the investigation;  </w:t>
        <w:br/>
        <w:t xml:space="preserve">Adopts the following decision:  </w:t>
        <w:br/>
        <w:t xml:space="preserve">1. The notified operation consists of the exclusive control acquisition of the company Euro Service Auto, active in the automobile distribution sector in Onet-le-Château (12) and Albi (81), and of the company Moto Plus, active in the motorcycle distribution sector in Albi (81), by Grim Holding, active in the automobile distribution sector. It constitutes a concentration operation within the meaning of Article L. 430-1 of the Commercial Code. Given the turnover achieved by the companies concerned, the operation does not fall under the jurisdiction of the European Union. However, the retail trade control thresholds mentioned in II of Article L. 430-2 of the Commercial Code are exceeded. This operation is therefore subject to the provisions of Articles L. 430-3 and following of the Commercial Code relating to economic concentration.  </w:t>
        <w:br/>
        <w:t>2. In light of the elements of the file, the operation is not likely to harm competition in the relevant markets.</w:t>
      </w:r>
    </w:p>
    <w:p>
      <w:r>
        <w:t xml:space="preserve">DECIDES  </w:t>
        <w:br/>
        <w:t xml:space="preserve">Sole Article: The operation notified under number 21-256 is authorized.  </w:t>
        <w:br/>
        <w:t xml:space="preserve">The acting president,  </w:t>
        <w:br/>
        <w:t xml:space="preserve">Emmanuel Combe  </w:t>
        <w:br/>
        <w:t>© Competition Authority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