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https://www.autoritedelaconcurrence.fr/fr/decision-de-controle-des-concentrations/relative-la-prise-de-controle-exclusif-des-societes-europe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24-DCC-166 of July 19, 2024</w:t>
        <w:br/>
        <w:t>regarding the exclusive control acquisition of the companies: Europe Services</w:t>
        <w:br/>
        <w:t>Propreté, Europe Services Voirie, Europe Services Déchets, and Europe</w:t>
        <w:br/>
        <w:t>Services Maintenance by the company FCC Environment France</w:t>
        <w:br/>
        <w:t>The Competition Authority,</w:t>
      </w:r>
    </w:p>
    <w:p>
      <w:r>
        <w:t>Having regard to the complete notification file submitted to the mergers department on July 4, 2024,</w:t>
        <w:br/>
        <w:t>concerning the exclusive control acquisition of the companies Europe Services Propreté, Europe Services</w:t>
        <w:br/>
        <w:t>Voirie, Europe Services Déchets, and Europe Services by the company FCC Environment France,</w:t>
        <w:br/>
        <w:t>formalized by a purchase promise signed on June 4, 2024;</w:t>
      </w:r>
    </w:p>
    <w:p>
      <w:r>
        <w:t>Having regard to Book IV of the Commercial Code relating to the freedom of prices and competition, and</w:t>
        <w:br/>
        <w:t>notably its Articles L. 430-1 to L. 430-7;</w:t>
      </w:r>
    </w:p>
    <w:p>
      <w:r>
        <w:t>Adopts the following decision:</w:t>
        <w:br/>
        <w:t>1. The notified operation consists of the acquisition by the company FCC Environment France of 100%</w:t>
        <w:br/>
        <w:t>of the share capital and voting rights of the companies Europe Services Propreté, Europe Services</w:t>
        <w:br/>
        <w:t>Voirie, Europe Services Déchets, and Europe Services, which are active in the sectors</w:t>
        <w:br/>
        <w:t>of waste collection and urban and industrial cleaning. The operation constitutes a</w:t>
        <w:br/>
        <w:t>concentration within the meaning of Article L. 430-1 of the Commercial Code. Given the revenues</w:t>
        <w:br/>
        <w:t>generated by the companies concerned, the operation does not fall under the jurisdiction of</w:t>
        <w:br/>
        <w:t>the European Union. On the other hand, the control thresholds mentioned in I of Article L. 430-2</w:t>
        <w:br/>
        <w:t>of the Commercial Code are exceeded. The present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24-173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