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https://www.autoritedelaconcurrence.fr/fr/decision-de-controle-des-concentrations/relative-la-prise-de-controle-exclusif-des-societes-evry</w:t>
      </w:r>
    </w:p>
    <w:p>
      <w:r>
        <w:t>Pages translated : 4</w:t>
      </w:r>
    </w:p>
    <w:p/>
    <w:p>
      <w:r>
        <w:rPr>
          <w:b/>
        </w:rPr>
        <w:t>[Pages 1–3]</w:t>
      </w:r>
    </w:p>
    <w:p>
      <w:r>
        <w:t xml:space="preserve">FRENCH REPUBLIC  </w:t>
        <w:br/>
        <w:t xml:space="preserve">Decision No. 10-DCC-23 of March 1, 2010  </w:t>
        <w:br/>
        <w:t>regarding the exclusive control of the companies Evry Corbeil Automobiles and Vétille Automobiles by the company Priod Holding (Priod group)</w:t>
      </w:r>
    </w:p>
    <w:p>
      <w:r>
        <w:t xml:space="preserve">The Competition Authority,  </w:t>
        <w:br/>
        <w:t xml:space="preserve">Having regard to the notification file sent to the merger service on January 29, 2010, and declared complete on February 12, 2010, concerning the acquisition of the companies Evry Corbeil Automobiles and Vétille Automobiles by the company Priod Holding, formalized by a transfer deed dated January 25, 2010;  </w:t>
        <w:br/>
        <w:t xml:space="preserve">Having regard to Book IV of the Commercial Code relating to the freedom of prices and competition, and in particular Articles L. 430-1 to L. 430-7;  </w:t>
        <w:br/>
        <w:t>Adopts the following decision:</w:t>
      </w:r>
    </w:p>
    <w:p>
      <w:r>
        <w:t xml:space="preserve">I. The concerned companies and the operation  </w:t>
        <w:br/>
        <w:t xml:space="preserve">1. The acquiring company Priod Holding is a simplified joint-stock company, the parent holding of the Priod group. It is controlled by Mr. Jean-Pierre Priod at 97% of the capital. The Priod group is active in the distribution, repair, and maintenance of motor vehicles in the Paris region, primarily concerning vehicles of the brands Citroën and Ford. Mr. Jean-Pierre Priod does not hold any other controlling interests in companies other than those he holds through the Priod group. The Priod group achieved a consolidated turnover excluding taxes of €326.9 million in 2008, entirely realized in France.  </w:t>
        <w:br/>
        <w:t>2. The acquired companies, the simplified joint-stock companies Evry Corbeil Automobiles (ECA) and Vétille Automobiles, belong to the Loret group and operate car dealerships located in the Essonne department, respectively in Corbeil for ECA and in Brétigny-sur-Orge and Etampes for Vétille Automobiles. They distribute vehicles of the Citroën brand. The companies Evry Corbeil Automobiles and Vétille Automobiles achieved a consolidated turnover excluding taxes of €41.3 million in 2008, exclusively in France.</w:t>
      </w:r>
    </w:p>
    <w:p>
      <w:r>
        <w:t xml:space="preserve">3. Upon completion of the transaction, Priod Holding will have acquired the entire capital of the companies Evry Corbeil Automobiles and Vétille Automobiles. As it results in the exclusive control by the Priod group of the target companies, the present transaction constitutes a concentration within the meaning of Article L. 430-1 of the Commercial Code.  </w:t>
        <w:br/>
        <w:t>4. Given the turnover of the companies concerned, it does not have a Community dimension. However, the control thresholds mentioned in point II of Article L. 430-2 of the Commercial Code are exceeded. The present transaction is therefore subject to the provisions of Articles L. 430-3 and following of the Commercial Code relating to economic concentration.</w:t>
      </w:r>
    </w:p>
    <w:p>
      <w:r>
        <w:t xml:space="preserve">II. Definition of Relevant Markets  </w:t>
        <w:br/>
        <w:t xml:space="preserve">A. DEFINITION OF PRODUCT AND SERVICE MARKETS  </w:t>
        <w:br/>
        <w:t xml:space="preserve">5. In the distribution sector, decision-making practice distinguishes: 1) the distribution of new passenger vehicles intended for individual customers; 2) the distribution of new passenger vehicles intended for professional customers; 3) the distribution of commercial vehicles (notably light utility vehicles); 4) the distribution of used vehicles; 5) the distribution of spare parts and automotive accessories; 6) maintenance and repair services for motor vehicles; and 7) rental services.  </w:t>
        <w:br/>
        <w:t xml:space="preserve">6. There is no need to challenge these definitions during the examination of the present transaction.  </w:t>
        <w:br/>
        <w:t>7. The competitive analysis will focus exclusively on the markets where the parties are simultaneously active, namely: the distribution of new passenger vehicles intended for individual customers; the distribution of new commercial vehicles (notably light utility vehicles); the distribution of used vehicles; the distribution of spare parts and automotive accessories as well as maintenance and repair services for motor vehicles.</w:t>
      </w:r>
    </w:p>
    <w:p>
      <w:r>
        <w:t xml:space="preserve">B. GEOGRAPHICAL DEFINITION OF MARKETS  </w:t>
        <w:br/>
        <w:t xml:space="preserve">8. Regarding the markets for the retail sale of new or used motor vehicles, the distribution of spare parts and automotive accessories, and maintenance and repair services for motor vehicles, decision-making practice adopts a local geographical dimension. In fact, the analysis of vehicle sales markets is generally conducted at the departmental level.  </w:t>
        <w:br/>
        <w:t>9. In this case, the activities of the parties overlap in the Essonne department, where the competitive analysis will be conducted.</w:t>
      </w:r>
    </w:p>
    <w:p>
      <w:r>
        <w:t xml:space="preserve">III. Competitive Analysis  </w:t>
        <w:br/>
        <w:t xml:space="preserve">10. Regarding the calculation of market shares in the distribution of new vehicles, decision-making practice considers as an indicator the ratio between the sales of new vehicles made by the parties in the departments concerned by the operation and the total registrations of new vehicles recorded in these same departments by the prefectures.  </w:t>
        <w:br/>
        <w:t xml:space="preserve">11. In the market for the distribution of new passenger vehicles intended for individual customers, across all brands, the market share in volume of the Priod group in Essonne in 2009 amounts to 2.2%, and those of ECA and Vétille Automobiles are respectively 2.3% and 3.1%. Thus, following the operation, the combined market share of the new entity will correspond to 7.6% of the total sales of new passenger vehicles intended for individual customers.  </w:t>
        <w:br/>
        <w:t xml:space="preserve">12. In the market for the distribution of new commercial vehicles, the market share in volume of the Priod group in Essonne in 2009 amounts to 1.4%, and those of ECA and Vétille Automobiles are 1.2% and 2.6% respectively. Following the operation, the combined market share of the new entity will therefore amount to 5.2% of the total sales of new commercial vehicles.  </w:t>
        <w:br/>
        <w:t xml:space="preserve">13. In these markets, the new entity will compete with numerous dealers of brands marketed by the parties in Essonne or of competing brands.  </w:t>
        <w:br/>
        <w:t xml:space="preserve">14. Regarding the market for the distribution of used vehicles, the notifying party provided an estimate of the market shares of the parties based on the equivalent territories of the cantons to which the municipalities where they are present belong, which constitutes a more restrictive market definition than that considering the departmental territory. These market shares are as follows: 2% in the municipality of Corbeil for ECA; 1.7% in the municipality of Etampes and 2.4% in the municipality of Brétigny-sur-Orge for Vétille Automobiles as well as 3.9% in the municipality of Montgeron for the company Ruffin Heitmann. Thus, the market share of the new entity remains limited in the Essonne department.  </w:t>
        <w:br/>
        <w:t xml:space="preserve">15. In the markets for the retail sale of spare parts and automotive accessories, and for the maintenance and repair of motor vehicles where the positions of the parties are even weaker, the operation does not pose any competitive risks either.  </w:t>
        <w:br/>
        <w:t>16. The operation is therefore not likely to harm competition in the concerned markets.</w:t>
      </w:r>
    </w:p>
    <w:p>
      <w:r>
        <w:rPr>
          <w:b/>
        </w:rPr>
        <w:t>[Pages 4–4]</w:t>
      </w:r>
    </w:p>
    <w:p>
      <w:r>
        <w:t xml:space="preserve">DECIDES  </w:t>
        <w:br/>
        <w:t xml:space="preserve">Sole Article: The operation notified under number 10-0008 is authorized.  </w:t>
        <w:b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