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https://www.autoritedelaconcurrence.fr/fr/decision-de-controle-des-concentrations/relative-la-prise-de-controle-exclusif-des-societes-extol</w:t>
      </w:r>
    </w:p>
    <w:p>
      <w:r>
        <w:t>Pages translated : 2</w:t>
      </w:r>
    </w:p>
    <w:p/>
    <w:p>
      <w:r>
        <w:rPr>
          <w:b/>
        </w:rPr>
        <w:t>[Pages 1–2]</w:t>
      </w:r>
    </w:p>
    <w:p>
      <w:r>
        <w:t xml:space="preserve">FRENCH REPUBLIC  </w:t>
        <w:br/>
        <w:t xml:space="preserve">Decision No. 22-DCC-172 of September 13, 2022  </w:t>
        <w:br/>
        <w:t xml:space="preserve">regarding the exclusive control acquisition of the companies Extol and Aluminium France Extrusion by the OpenGate III funds  </w:t>
        <w:br/>
        <w:t xml:space="preserve">The Competition Authority,  </w:t>
        <w:br/>
        <w:t xml:space="preserve">Having regard to the complete notification file sent to the mergers department on August 18, 2022, concerning the exclusive control acquisition of the companies Extrusiones de Toledo, Extol France (hereinafter collectively referred to as "Extol") and Aluminium France Extrusion Saint Florentin, Aluminium France Extrusion Ham (hereinafter referred to as "AFE") by the investment funds OpenGate Capital Partners III, LP and OpenGate Capital Partners III-A, LP (hereinafter referred to as "the OpenGate III funds") formalized on July 29, 2022, for Extol by a share transfer agreement and for AFE by a unilateral purchase promise;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OpenGate III funds of Extol and AFE, active in the sector of aluminum profile manufacturing. These two interdependent acquisitions constitute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