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https://www.autoritedelaconcurrence.fr/fr/decision-de-controle-des-concentrations/relative-la-prise-de-controle-exclusif-des-societes-fabas</w:t>
      </w:r>
    </w:p>
    <w:p>
      <w:r>
        <w:t>Pages translated : 6</w:t>
      </w:r>
    </w:p>
    <w:p/>
    <w:p>
      <w:r>
        <w:rPr>
          <w:b/>
        </w:rPr>
        <w:t>[Pages 1–3]</w:t>
      </w:r>
    </w:p>
    <w:p>
      <w:r>
        <w:t xml:space="preserve">FRENCH REPUBLIC  </w:t>
        <w:br/>
        <w:t xml:space="preserve">Decision No. 10-DCC-163 of November 18, 2010  </w:t>
        <w:br/>
        <w:t xml:space="preserve">regarding the exclusive control of the companies Fabas-Distri,  </w:t>
        <w:br/>
        <w:t xml:space="preserve">Fleurance Distribution, Redon-Distri, and Nerac-Distri  </w:t>
        <w:br/>
        <w:t>by the company Retail Leader Price Investissement</w:t>
      </w:r>
    </w:p>
    <w:p>
      <w:r>
        <w:t xml:space="preserve">The Competition Authority,  </w:t>
        <w:br/>
        <w:t xml:space="preserve">Having regard to the notification file submitted in full to the merger service on October 12, 2010, regarding the acquisition of exclusive control of the companies Fabas-Distri, Fleurance Distribution, Redon-Distri, and Nerac-Distri by the company Retail Leader Price Investissement, formalized by a letter of intent dated September 27, 2010, following the exercise of the put option granted under the agreement dated March 20, 1998;  </w:t>
        <w:br/>
        <w:t xml:space="preserve">Having regard to Book IV of the Commercial Code relating to the freedom of prices and competition, and in particular Articles L. 430-1 to L. 430-7;  </w:t>
        <w:br/>
        <w:t>Adopts the following decision:</w:t>
      </w:r>
    </w:p>
    <w:p>
      <w:r>
        <w:t xml:space="preserve">I. The companies concerned and the operation  </w:t>
        <w:br/>
        <w:t xml:space="preserve">1. The company Retail Leader Price Investissement (hereinafter "RLPI"), a 100% subsidiary of the Franprix Leader Price Holding group, which is itself 100% owned by the Casino Guichard Perrachon group, has as its main purpose the acquisition of stakes in companies operating retail stores under the Leader Price brand.  </w:t>
        <w:br/>
        <w:t xml:space="preserve">2. The Casino group is managed by a holding company, Casino Guichard Perrachon, which implements the group's development strategy, coordinates the various activities, manages a portfolio of brands, designs, and models for which the subsidiaries have an operating license, and ensures the centralized management of the group's treasury in France. The Casino group is the third largest player in the French food retail sector and manages a network of over 10,000 stores (hypermarkets, supermarkets, convenience stores, discount stores...) under the Casino, Franprix, Spar, Vival, Naturalia, and Leader Price brands. The Casino group also holds 50% of the Monoprix group. It is also present in the online distribution sector of non-food products with the brand Cdiscount.  </w:t>
        <w:br/>
        <w:t xml:space="preserve">3. The companies Fabas-Distri, Fleurance Distribution, Redon-Distri, and Nerac-Distri are commercial companies, directly owned by Mr. Stéphane Magnier and indirectly through his holding company Sofinmag. Their main purpose is to manage four businesses operated under the Leader Price brand.  </w:t>
        <w:br/>
        <w:t xml:space="preserve">4. Regarding the company Redon-Distri, 74% of the capital is held by Mr. Stéphane Magnier and the remaining 26% is held by RLPI. For the company Fabas-Distri: 66% of the capital belongs to the company Sofinmag and the remaining 34% is held by RLPI. The statutes of these two companies grant RLPI the possibility to block any change of brand without time limitation, as it holds a blocking minority in the ordinary general meeting. Consequently, RLPI already exercised joint control over these two companies with Mr. Stéphane Magnier.  </w:t>
        <w:br/>
        <w:t xml:space="preserve">5. Regarding the company Fleurance Distribution: 100% of the capital belongs to the company Fabas-Distri.  </w:t>
        <w:br/>
        <w:t xml:space="preserve">6. Regarding the company Nerac-Distri, its share capital is jointly held by Mr. Stéphane Magnier, at 49%, and by RLPI at 51%. It follows from this distribution and the statutory provisions that these two partners exercised joint control over this company.  </w:t>
        <w:br/>
        <w:t xml:space="preserve">7. Mr. Stéphane Magnier, as the representative of the companies Fabas-Distri, Fleurance Distribution, Redon-Distri, and Nerac-Distri, notified RLPI, by a letter dated April 29, 2010, of his intention to sell all of his direct and indirect holdings in the aforementioned companies. By a letter dated July 2, 2010, RLPI confirmed the exercise of the put option resulting from the agreement between it and Mr. Magnier on March 20, 1998. By a letter of intent dated September 27, 2010, RLPI formalized the acquisition of all the shares held by Mr. Magnier in the companies Fabas-Distri, Fleurance Distribution, Redon-Distri, and Nerac-Distri.  </w:t>
        <w:br/>
        <w:t>8. As it results in the exclusive control of the companies Fabas-Distri, Fleurance Distribution, Redon-Distri, and Nerac-Distri by the Casino group, via its company RLPI, the notified operation is a concentration operation within the meaning of Article L. 430-1 of the Commercial Code. The companies concerned operate several retail stores and together achieve a total worldwide turnover of over 75 million euros (Casino Group: 26.76 billion euros for the fiscal year ending December 31, 2009; Fabas-Distri: 9.97 million euros for the same fiscal year; Fleurance Distribution: 6.62 million euros for the same fiscal year; Redon-Distri: 7.2 million euros for the same fiscal year; Nerac-Distri: 9 million euros for the same fiscal year). The companies Fabas-Distri, Fleurance Distribution, Redon-Distri, and Nerac-Distri being owned by the same physical and legal persons, it is appropriate, in accordance with paragraph 94 of the guidelines of the Competition Authority regarding the control of concentrations, to consider them as constituting the same group. Consequently, the companies concerned achieve in France, in the retail sector, a turnover exceeding 15 million euros. Given these turnovers, the operation does not have a Community dimension. However, the control thresholds related to retail trade mentioned in point II of Article L. 430-2 of the Commercial Code are exceeded. Therefore, the present operation is subject to the provisions of Articles L. 430-3 and following of the Commercial Code relating to economic concentration.</w:t>
      </w:r>
    </w:p>
    <w:p>
      <w:r>
        <w:t xml:space="preserve">II. Definition of Relevant Markets  </w:t>
        <w:br/>
        <w:t>9. According to the consistent practice of national and Community competition authorities, two categories of markets can be defined in the food-dominated distribution sector. These are, on the one hand, "downstream" markets, of a local dimension, which bring together retail companies and consumers for the sale of consumer goods and, on the other hand, "upstream" markets for supplying retail companies with everyday consumer goods, of a national dimension.</w:t>
      </w:r>
    </w:p>
    <w:p>
      <w:r>
        <w:t xml:space="preserve">A. DOWNSTREAM MARKETS OF DISTRIBUTION  </w:t>
        <w:br/>
        <w:t xml:space="preserve">1. SERVICE MARKETS  </w:t>
        <w:br/>
        <w:t xml:space="preserve">10. Regarding the retail sale of everyday consumer goods, both Community and national competition authorities have distinguished six categories of commerce using several criteria, including store size, sales techniques, accessibility, the nature of the service provided, and the range of products offered: (i) hypermarkets, (ii) supermarkets, (iii) specialized trade, (iv) small retail trade, (v) maxi discounters, (vi) mail order sales.  </w:t>
        <w:br/>
        <w:t xml:space="preserve">11. Supermarkets are usually defined as food-dominated stores with a legal sales area of less than 2,500 m² and more than 400 m².  </w:t>
        <w:br/>
        <w:t>12. In this case, the companies concerned by the operation operate four discount stores under the Leader Price brand and currently occupy respective sales areas of 1,000 m² (Fabas-Distri), 910 m² (Redon-Distri), 1,230 m² (Nerac-Distri), and 954 m² (Fleurance Distribution), thus falling into the category of supermarkets.</w:t>
      </w:r>
    </w:p>
    <w:p>
      <w:r>
        <w:t xml:space="preserve">2. GEOGRAPHICAL DELIMITATION  </w:t>
        <w:br/>
        <w:t>13. In its recent decisions regarding operations involving hypermarkets or supermarkets, the Competition Authority has recalled that depending on the size of the stores concerned, the conditions of competition should be assessed in two different areas: for the operations considered, the rule is no longer applicable. The overall operation will need to be notified to the Authority as soon as the consolidated turnover of these successive operations exceeds the mandatory notification thresholds.</w:t>
      </w:r>
    </w:p>
    <w:p>
      <w:r>
        <w:rPr>
          <w:b/>
        </w:rPr>
        <w:t>[Pages 4–6]</w:t>
      </w:r>
    </w:p>
    <w:p>
      <w:r>
        <w:t xml:space="preserve">- a first market where the demand of consumers in an area meets the supply of hypermarkets they can access within less than 30 minutes by car and which are, from their perspective, substitutable with each other;  </w:t>
        <w:br/>
        <w:t xml:space="preserve">- a second market where the demand of consumers meets the supply of supermarkets and equivalent forms of commerce located within less than 15 minutes by car. These latter forms of commerce may include, in addition to supermarkets, hypermarkets located near consumers and discount stores.  </w:t>
        <w:br/>
        <w:t xml:space="preserve">14. Other criteria may nevertheless be taken into account to assess the impact of a concentration on the competitive situation in retail distribution markets, which may lead to refining, in the specific case, the usual delimitations presented above.  </w:t>
        <w:br/>
        <w:t xml:space="preserve">15. In this case, the stores concerned falling into the category of supermarkets, the competitive analysis will be conducted solely on the market including supermarkets, hypermarkets, and convenience stores and discount stores located within a 15-minute radius around Boe (Fabas-Distri), Bon Encontre (Redon-Distri), Nérac (Nérac-Distri), and Fleurance (Fleurance Distribution).  </w:t>
        <w:br/>
        <w:t xml:space="preserve">B. UPSTREAM SUPPLY MARKETS  </w:t>
        <w:br/>
        <w:t xml:space="preserve">16. Regarding the supply markets, the European Commission has recognized the existence of national markets by major product groups, a delimitation followed by national authorities.  </w:t>
        <w:br/>
        <w:t xml:space="preserve">17. There is no need to challenge this delimitation in the context of the present operation.  </w:t>
        <w:br/>
        <w:t xml:space="preserve">III. Competitive Analysis  </w:t>
        <w:br/>
        <w:t xml:space="preserve">A. DOWNSTREAM MARKET OF FOOD-DOMINATED DISTRIBUTION  </w:t>
        <w:br/>
        <w:t>18. The supermarkets operated by the target and by the acquirers are located, respectively, in the catchment areas of Boe (47), Bon Encontre (47), Nérac (47), and Fleurance (32).</w:t>
      </w:r>
    </w:p>
    <w:p>
      <w:r>
        <w:t xml:space="preserve">19. In the various markets concerned by the operation, the parties to the concentration present the following market shares:  </w:t>
        <w:br/>
        <w:t xml:space="preserve">Casino Group Targets Cumulative Competitor 1 Competitor 2  </w:t>
        <w:br/>
        <w:t xml:space="preserve">Intermarché Carrefour  </w:t>
        <w:br/>
        <w:t xml:space="preserve">Boe [20-30]% [0-5]% [30-40]%  </w:t>
        <w:br/>
        <w:t xml:space="preserve">[20-30]% [10-20]%  </w:t>
        <w:br/>
        <w:t xml:space="preserve">Intermarché Carrefour  </w:t>
        <w:br/>
        <w:t xml:space="preserve">Bon Encontre [30-40]% [0-5]% [30-40]%  </w:t>
        <w:br/>
        <w:t xml:space="preserve">[20-30]% [10-20]%  </w:t>
        <w:br/>
        <w:t xml:space="preserve">Système U Intermarché  </w:t>
        <w:br/>
        <w:t xml:space="preserve">Nérac [0-5]% [10-20]% [10-20]%  </w:t>
        <w:br/>
        <w:t xml:space="preserve">[30-40]% [20-30]%  </w:t>
        <w:br/>
        <w:t xml:space="preserve">Carrefour LIDL  </w:t>
        <w:br/>
        <w:t xml:space="preserve">Fleurance [20-30]% [10-20]% [30-40]%  </w:t>
        <w:br/>
        <w:t xml:space="preserve">[40-50]% [10-20]%  </w:t>
        <w:br/>
        <w:t xml:space="preserve">20. In the market including supermarkets and equivalent forms of commerce located within a 15-minute catchment area around Boe, the store under the Leader Price brand operated by the target represents [0-5]% of the sales area. The other stores operated by the Casino Group in the 15-minute catchment area, under the brands Leader Price, Géant Casino, and Hyper Casino, represent [20-30]% of the sales area. Following the proposed operation, the market share of the Casino Group will be [30-40]%.  </w:t>
        <w:br/>
        <w:t xml:space="preserve">21. This store faces competition from eight convenience stores and supermarkets of the Intermarché group holding [20-30]% of the sales area, from three supermarkets of the Carrefour group holding [10-20]% of the sales area, and from one supermarket of the Leclerc group holding [10-20]% of the sales area.  </w:t>
        <w:br/>
        <w:t xml:space="preserve">22. Furthermore, the notifying party indicated that the Intermarché group has obtained authorization to create a new food-oriented store of 1,200 m² in the 15-minute catchment area. These extensions will lead to a slight increase in the market shares of the Intermarché group to [30-40]% and a decrease in the market share of the Casino Group, which will drop to [30-40]% of the sales area.  </w:t>
        <w:br/>
        <w:t xml:space="preserve">23. In the market including supermarkets and equivalent forms of commerce located within a 15-minute catchment area around Bon Encontre, the store under the Leader Price brand operated by the target represents [0-5]% of the sales area. The other stores operated by the Casino Group in the 15-minute catchment area, under the brands Leader Price, Géant Casino, and Hyper Casino, represent [30-40]% of the sales area. Following the proposed operation, the market share of the Casino Group will be [30-40]%.  </w:t>
        <w:br/>
        <w:t xml:space="preserve">24. This store faces competition from eight convenience stores and supermarkets of the Intermarché group holding [20-30]% of the sales area, from three supermarkets of the Carrefour group holding [10-20]% of the sales area, and from one supermarket of the Leclerc group holding [10-20]% of the sales area.  </w:t>
        <w:br/>
        <w:t>25. Furthermore, the notifying party indicated that the Intermarché group has obtained authorization to create a new food-oriented store of 1,200 m² in the 15-minute catchment area. These extensions will lead to a slight increase in the market shares of the Intermarché group to [30-40]% and a decrease in the market share of the Casino Group, which will drop to [30-40]% of the sales area.</w:t>
      </w:r>
    </w:p>
    <w:p>
      <w:r>
        <w:t xml:space="preserve">26. In the market including supermarkets and equivalent forms of commerce located within a 15-minute catchment area around Nérac, the store under the Leader Price brand operated by the target represents [10-20]% of the sales area. The Casino Group does not own any other points of sale in the 15-minute catchment area around the target.  </w:t>
        <w:br/>
        <w:t xml:space="preserve">27. This store faces competition from the Système U group holding [30-40]% of the sales area, from the Intermarché group holding [20-30]% of the sales area, and from the Carrefour group holding [10-20]% of the sales area.  </w:t>
        <w:br/>
        <w:t xml:space="preserve">28. In the market including supermarkets and equivalent forms of commerce located within a 15-minute catchment area around Fleurance, the store under the Leader Price brand operated by the target represents [10-20]% of the sales area. The Casino Group operates another point of sale in the 15-minute catchment area, under the Casino brand, which represents [20-30]% of the sales area. Following the proposed operation, the market share of the Casino Group will be [30-40]%.  </w:t>
        <w:br/>
        <w:t xml:space="preserve">29. This store faces competition from the Carrefour group holding [50-60]% of the sales area, from the LIDL group holding [10-20]% of the sales area.  </w:t>
        <w:br/>
        <w:t xml:space="preserve">30. Consequently, the operation is not likely to harm competition in the markets concerned.  </w:t>
        <w:br/>
        <w:t xml:space="preserve">B. UPSTREAM SUPPLY MARKET  </w:t>
        <w:br/>
        <w:t xml:space="preserve">31. Regarding the upstream supply markets, it should be noted that the operation is limited to 4 stores representing only a marginal part of the turnover generated by the Casino Group in France under the Franprix/Leader-Price brand. The acquisition of shares from Mr. Stéphane Magnier is therefore not likely to significantly strengthen the purchasing power of the Casino Group, across all products as well as by major product groups. The strengthening is even more minor since, prior to the operation, the points of sale subject to the notified operation were already sourcing almost exclusively through the purchasing center Distribution Leader Price, a subsidiary of the Casino Group.  </w:t>
        <w:br/>
        <w:t xml:space="preserve">32. Consequently, the operation is not likely to harm competition both in the downstream market and in the upstream market of distribution.  </w:t>
        <w:br/>
        <w:t xml:space="preserve">DECIDES  </w:t>
        <w:br/>
        <w:t xml:space="preserve">Sole Article: The operation notified under number 10-0173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