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https://www.autoritedelaconcurrence.fr/fr/decision-de-controle-des-concentrations/relative-la-prise-de-controle-exclusif-des-societes-favret</w:t>
      </w:r>
    </w:p>
    <w:p>
      <w:r>
        <w:t>Pages translated : 2</w:t>
      </w:r>
    </w:p>
    <w:p/>
    <w:p>
      <w:r>
        <w:rPr>
          <w:b/>
        </w:rPr>
        <w:t>[Pages 1–2]</w:t>
      </w:r>
    </w:p>
    <w:p>
      <w:r>
        <w:t xml:space="preserve">French Republic  </w:t>
        <w:br/>
        <w:t xml:space="preserve">Decision No. 23-DCC-70 of April 21, 2023  </w:t>
        <w:br/>
        <w:t xml:space="preserve">regarding the exclusive control acquisition of the companies Favret Automobiles  </w:t>
        <w:br/>
        <w:t>and Olymp’Auto by the Jean Lain group</w:t>
      </w:r>
    </w:p>
    <w:p>
      <w:r>
        <w:t>The Competition Authority,</w:t>
      </w:r>
    </w:p>
    <w:p>
      <w:r>
        <w:t xml:space="preserve">Having regard to the complete notification file sent to the mergers department on March 28, 2023,  </w:t>
        <w:br/>
        <w:t xml:space="preserve">concerning the exclusive control acquisition by the company Finalain, the parent company of the Jean Lain group,  </w:t>
        <w:br/>
        <w:t xml:space="preserve">of the companies Favret Automobiles and Olymp’Auto, formalized by a letter of intent dated  </w:t>
        <w:br/>
        <w:t xml:space="preserve">March 7, 2023;  </w:t>
        <w:br/>
        <w:t xml:space="preserve">Having regard to Book IV of the Commercial Code relating to the freedom of prices and competition, and  </w:t>
        <w:br/>
        <w:t xml:space="preserve">notably its Articles L. 430-1 to L. 430-7;  </w:t>
        <w:br/>
        <w:t>Having regard to the additional elements provided by the notifying party during the investigation;</w:t>
      </w:r>
    </w:p>
    <w:p>
      <w:r>
        <w:t xml:space="preserve">Adopts the following decision:  </w:t>
        <w:br/>
        <w:t xml:space="preserve">1. The notified operation consists of the exclusive control acquisition of the companies Favret Automobiles  </w:t>
        <w:br/>
        <w:t xml:space="preserve">and Olymp’Auto, which operate several automotive distribution businesses in the Haute-Savoie department (74), by the Jean Lain group itself active in the automotive distribution sector. It constitutes a concentration operation within the meaning of  </w:t>
        <w:br/>
        <w:t xml:space="preserve">Article L. 430-1 of the Commercial Code. Given the turnover generated by the companies concerned, the operation does not fall under the jurisdiction of the European Union. However, the retail control thresholds mentioned in II of Article  </w:t>
        <w:br/>
        <w:t xml:space="preserve">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23-058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