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https://www.autoritedelaconcurrence.fr/fr/decision-de-controle-des-concentrations/relative-la-prise-de-controle-exclusif-des-societes-flama</w:t>
      </w:r>
    </w:p>
    <w:p>
      <w:r>
        <w:t>Pages translated : 2</w:t>
      </w:r>
    </w:p>
    <w:p/>
    <w:p>
      <w:r>
        <w:rPr>
          <w:b/>
        </w:rPr>
        <w:t>[Pages 1–2]</w:t>
      </w:r>
    </w:p>
    <w:p>
      <w:r>
        <w:t xml:space="preserve">FRENCH REPUBLIC  </w:t>
        <w:br/>
        <w:t xml:space="preserve">Decision No. 22-DCC-20 of February 17, 2022  </w:t>
        <w:br/>
        <w:t xml:space="preserve">regarding the exclusive control acquisition of the companies Flama and Gorrine  </w:t>
        <w:br/>
        <w:t>by the company ITM Entreprises</w:t>
      </w:r>
    </w:p>
    <w:p>
      <w:r>
        <w:t>The Competition Authority,</w:t>
      </w:r>
    </w:p>
    <w:p>
      <w:r>
        <w:t xml:space="preserve">Having regard to the complete notification file submitted to the mergers department on February 1, 2022,  </w:t>
        <w:br/>
        <w:t xml:space="preserve">concerning the exclusive control acquisition of the companies Flama and Gorrine by  </w:t>
        <w:br/>
        <w:t>ITM Entreprises, via its subsidiary ITM Alimentaire Centre Ouest, formalized by a share transfer agreement dated February 9, 2021;</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exclusive control acquisition by the company  </w:t>
        <w:br/>
        <w:t>ITM Entreprises of the companies Flama and Gorrine. The company Flama operates a food-dominant business of the supermarket type under the brand "Intermarché" with a surface area of 2,499 m² located in Châtillon-sur-Indre (36). The company Gorrine operates a food-dominant business of the hypermarket type under the brand "Intermarché" with a surface area of 2,799 m² located in Descartes (37). The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22-021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