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https://www.autoritedelaconcurrence.fr/fr/decision-de-controle-des-concentrations/relative-la-prise-de-controle-exclusif-des-societes-fmh-fmp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13-DCC-184 of December 16, 2013  </w:t>
        <w:br/>
        <w:t xml:space="preserve">regarding the exclusive control acquisition of the companies FMH, FMP, MRH,  </w:t>
        <w:br/>
        <w:t xml:space="preserve">FM Motors Location, SCI de la Tour, FM Motors Roissy, FM Motors  </w:t>
        <w:br/>
        <w:t xml:space="preserve">Lille, and FM Motors Reims by the PGA Motors group  </w:t>
        <w:br/>
        <w:t xml:space="preserve">The Competition Authority,  </w:t>
        <w:br/>
        <w:t xml:space="preserve">Having regard to the complete notification file submitted to the mergers department on November 15,  </w:t>
        <w:br/>
        <w:t xml:space="preserve">2013, concerning the exclusive control acquisition of the companies FMH, FMP, MRH, FM Motors  </w:t>
        <w:br/>
        <w:t xml:space="preserve">Location, SCI de la Tour, FM Motors Roissy, FM Motors Lille, and FM Motors Reims by the  </w:t>
        <w:br/>
        <w:t xml:space="preserve">company PGA Motors and formalized by a letter of intent dated November 8,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FMH, FMP, MRH,  </w:t>
        <w:br/>
        <w:t xml:space="preserve">FM Motors Location, SCI de la Tour, FM Motors Roissy, FM Motors Lille, and FM Motors  </w:t>
        <w:br/>
        <w:t xml:space="preserve">Reims, active in the distribution of Porsche brand automobiles in Villeneuve  </w:t>
        <w:br/>
        <w:t xml:space="preserve">d’Ascq, Thillois, and Saint-Witz, in the departments of Nord (59), Marne (51), and  </w:t>
        <w:br/>
        <w:t xml:space="preserve">Val d’Oise (95) by the PGA Motors group, which is itself active in automobile distribution  </w:t>
        <w:br/>
        <w:t xml:space="preserve">in several departments.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have a community dimension. On the other hand, the thresholds for  </w:t>
        <w:br/>
        <w:t xml:space="preserve">control related to retail trade mentioned in point II of Article L. 430-2 of the Commercial Code  </w:t>
        <w:br/>
        <w:t xml:space="preserve">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13-212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