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https://www.autoritedelaconcurrence.fr/fr/decision-de-controle-des-concentrations/relative-la-prise-de-controle-exclusif-des-societes-fonty</w:t>
      </w:r>
    </w:p>
    <w:p>
      <w:r>
        <w:t>Pages translated : 2</w:t>
      </w:r>
    </w:p>
    <w:p/>
    <w:p>
      <w:r>
        <w:rPr>
          <w:b/>
        </w:rPr>
        <w:t>[Pages 1–2]</w:t>
      </w:r>
    </w:p>
    <w:p>
      <w:r>
        <w:t xml:space="preserve">FRENCH REPUBLIC  </w:t>
        <w:br/>
        <w:t xml:space="preserve">Decision No. 24-DCC-133 of June 24, 2024  </w:t>
        <w:br/>
        <w:t xml:space="preserve">regarding the exclusive control acquisition of the companies Fonty and Soreba by  </w:t>
        <w:br/>
        <w:t xml:space="preserve">ITM Entreprises  </w:t>
        <w:br/>
        <w:t xml:space="preserve">The Competition Authority,  </w:t>
        <w:br/>
        <w:t xml:space="preserve">Having regard to the complete notification file sent to the mergers department on June 3, 2024, concerning  </w:t>
        <w:br/>
        <w:t xml:space="preserve">the exclusive control acquisition of the companies Fonty and Soreba by ITM Entreprises via its subsidiary  </w:t>
        <w:br/>
        <w:t xml:space="preserve">ITM Alimentaire Nord, formalized by the acceptance of a letter of intent on May 30, 2024.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concerns the exclusive control acquisition by the company ITM Entreprises, via  </w:t>
        <w:br/>
        <w:t xml:space="preserve">its subsidiary ITM Alimentaire Nord, of the companies Fonty and Soreba which operate two retail  </w:t>
        <w:br/>
        <w:t xml:space="preserve">businesses predominantly in food under the brand "Intermarché": the first, with an area of 2,191 m², is located in Belleu (02) while the second, with an area of 2,350 m², is located in Crouy (02). It constitutes a concentration operation within the meaning of  </w:t>
        <w:br/>
        <w:t xml:space="preserve">Article L. 430-1 of the Commercial Code. Given the turnover achieved by the companies concerned, the operation does not fall under the jurisdiction of the European Union. However, the retail control thresholds mentioned in II of Article  </w:t>
        <w:br/>
        <w:t xml:space="preserve">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24-144 is authorized.  </w:t>
        <w:br/>
        <w:t xml:space="preserve">The Vice-President,  </w:t>
        <w:br/>
        <w:t xml:space="preserve">Irène Luc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