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https://www.autoritedelaconcurrence.fr/fr/decision-de-controle-des-concentrations/relative-la-prise-de-controle-exclusif-des-societes-forlam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25-DCC-158 of July 4, 2025</w:t>
        <w:br/>
        <w:t>regarding the exclusive control acquisition of the companies</w:t>
        <w:br/>
        <w:t>Forlam Clôture Industrie and Grillages Naas by the company Picot</w:t>
        <w:br/>
        <w:t>The Competition Authority,</w:t>
        <w:br/>
        <w:t>Having regard to the complete notification file submitted to the mergers department on June 16, 2025,</w:t>
        <w:br/>
        <w:t>concerning the exclusive control acquisition of the companies Forlam Clôture Industrie S.A.S. and</w:t>
        <w:br/>
        <w:t>Grillages Naas S.A.S. by the company Picot S.A.S., formalized by an indicative offer letter</w:t>
        <w:br/>
        <w:t>dated February 21, 2025;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acquisition, by the company Picot S.A.S., of all1 the</w:t>
        <w:br/>
        <w:t>shares and voting rights of the companies Forlam Clôture Industrie S.A.S. and Grillages Naas S.A.S.,</w:t>
        <w:br/>
        <w:t>which are active in the sector of the supply and distribution of fences and gates.</w:t>
        <w:br/>
        <w:t>The operation constitutes a concentration within the meaning of Article L. 430-1 of the Commercial Code.</w:t>
        <w:br/>
        <w:t>Given the turnover achieved by the concerned companies, the operation does not fall under the jurisdiction of the European Union. On the other hand, the control thresholds mentioned in I of Article L. 430-2 of the Commercial Code are exceeded. The present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  <w:br/>
        <w:t>1 In two stages: acquisition of 66% of the capital in 2025, then the remaining 34% by 2027.</w:t>
      </w:r>
    </w:p>
    <w:p>
      <w:r>
        <w:t>DECIDES</w:t>
        <w:br/>
        <w:t>Single Article: The operation notified under number 25-053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