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https://www.autoritedelaconcurrence.fr/fr/decision-de-controle-des-concentrations/relative-la-prise-de-controle-exclusif-des-societes-fourel</w:t>
      </w:r>
    </w:p>
    <w:p>
      <w:r>
        <w:t>Pages translated : 2</w:t>
      </w:r>
    </w:p>
    <w:p/>
    <w:p>
      <w:r>
        <w:rPr>
          <w:b/>
        </w:rPr>
        <w:t>[Pages 1–2]</w:t>
      </w:r>
    </w:p>
    <w:p>
      <w:r>
        <w:t xml:space="preserve">FRENCH REPUBLIC  </w:t>
        <w:br/>
        <w:t xml:space="preserve">Decision No. 18-DCC-228 of December 26, 2018  </w:t>
        <w:br/>
        <w:t>regarding the exclusive control acquisition of the companies Fourel, Befipo, and Maloui by the Grim group</w:t>
      </w:r>
    </w:p>
    <w:p>
      <w:r>
        <w:t>The Competition Authority,</w:t>
      </w:r>
    </w:p>
    <w:p>
      <w:r>
        <w:t xml:space="preserve">Having regard to the complete notification file submitted to the mergers department on December 7, 2018, concerning the exclusive control acquisition of the companies Fourel, Befipo, and Maloui by the Grim group, formalized by a share transfer agreement dated November 29, 2018;  </w:t>
        <w:br/>
        <w:t xml:space="preserve">Having regard to Book IV of the Commercial Code relating to the freedom of prices and competition, and in particular its Articles L. 430-1 to L. 430-7;  </w:t>
        <w:br/>
        <w:t>Having regard to the elements provided during the investigation by the notifying party;</w:t>
      </w:r>
    </w:p>
    <w:p>
      <w:r>
        <w:t xml:space="preserve">Adopts the following decision:  </w:t>
        <w:br/>
        <w:t xml:space="preserve">1. The notified operation consists of the exclusive control acquisition by the company Holding Grim, at the head of the Grim group, of the companies Fourel, which operates three automobile dealership sites for BMW and Mini brands in the Drôme department (26), and Befipo and Maloui, which are active in the real estate market. It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18-285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