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https://www.autoritedelaconcurrence.fr/fr/decision-de-controle-des-concentrations/relative-la-prise-de-controle-exclusif-des-societes-fregau</w:t>
      </w:r>
    </w:p>
    <w:p>
      <w:r>
        <w:t>Pages translated : 2</w:t>
      </w:r>
    </w:p>
    <w:p/>
    <w:p>
      <w:r>
        <w:rPr>
          <w:b/>
        </w:rPr>
        <w:t>[Pages 1–2]</w:t>
      </w:r>
    </w:p>
    <w:p>
      <w:r>
        <w:t xml:space="preserve">FRENCH REPUBLIC  </w:t>
        <w:br/>
        <w:t xml:space="preserve">Decision No. 11-DCC-211 of December 22, 2011  </w:t>
        <w:br/>
        <w:t xml:space="preserve">regarding the exclusive control acquisition of the companies Fregau, Sofiane, and Janelise by the company ITM Alimentaire Sud Est  </w:t>
        <w:br/>
        <w:t xml:space="preserve">The Competition Authority,  </w:t>
        <w:br/>
        <w:t xml:space="preserve">Having regard to the complete notification file submitted to the mergers department on December 1, 2011, concerning the exclusive control acquisition of the companies Fregau, Sofiane, and Janelise by the company ITM Alimentaire Sud Est, formalized by a transfer agreement dated December 19, 2007, and two amendments dated December 24, 2010, and November 10, 2011;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ITM Alimentaire Sud Est of the companies Fregau, Sofiane, and Janelise operating two retail businesses predominantly in food distribution, under the brands Intermarché and Relais des Mousquetaires, located respectively in the city of Ventabren and in Eguilles (13).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11-237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