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https://www.autoritedelaconcurrence.fr/fr/decision-de-controle-des-concentrations/relative-la-prise-de-controle-exclusif-des-societes-fresh</w:t>
      </w:r>
    </w:p>
    <w:p>
      <w:r>
        <w:t>Pages translated : 2</w:t>
      </w:r>
    </w:p>
    <w:p/>
    <w:p>
      <w:r>
        <w:rPr>
          <w:b/>
        </w:rPr>
        <w:t>[Pages 1–2]</w:t>
      </w:r>
    </w:p>
    <w:p>
      <w:r>
        <w:t xml:space="preserve">FRENCH REPUBLIC  </w:t>
        <w:br/>
        <w:t xml:space="preserve">Decision No. 25-DCC-203 of September 1, 2025  </w:t>
        <w:br/>
        <w:t xml:space="preserve">regarding the exclusive control acquisition of the companies Fresh Food Village  </w:t>
        <w:br/>
        <w:t xml:space="preserve">and Compagnie de Logistique by the company Financière LM  </w:t>
        <w:br/>
        <w:t>The Competition Authority,</w:t>
      </w:r>
    </w:p>
    <w:p>
      <w:r>
        <w:t xml:space="preserve">Having regard to the complete notification file sent to the mergers department on August 13, 2025,  </w:t>
        <w:br/>
        <w:t>concerning the exclusive control acquisition of the companies Fresh Food Village SAS and Compagnie de Logistique SARL by the company Financière LM, formalized by a purchase promise dated August 7,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the company Financière LM of exclusive control over the companies Fresh Food Village and its subsidiary Compagnie de Logistique. Fresh Food Village operates as a wholesaler of food products, and more specifically of industrial bakery, pastry, and confectionery products. Compagnie de Logistique provides logistics services related to the activities of its parent company.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25-213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