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https://www.autoritedelaconcurrence.fr/fr/decision-de-controle-des-concentrations/relative-la-prise-de-controle-exclusif-des-societes-garage</w:t>
      </w:r>
    </w:p>
    <w:p>
      <w:r>
        <w:t>Pages translated : 4</w:t>
      </w:r>
    </w:p>
    <w:p/>
    <w:p>
      <w:r>
        <w:rPr>
          <w:b/>
        </w:rPr>
        <w:t>[Pages 1–3]</w:t>
      </w:r>
    </w:p>
    <w:p>
      <w:r>
        <w:t xml:space="preserve">FRENCH REPUBLIC  </w:t>
        <w:br/>
        <w:t xml:space="preserve">Decision No. 12-DCC-116 of August 31, 2012  </w:t>
        <w:br/>
        <w:t>regarding the exclusive control of the companies Garage des Côtes d'Armor, Garages de l'Odet, Société du garage de Penanguer, Garage de l’Aulne, and Garage Huitric by Bodemer SA</w:t>
      </w:r>
    </w:p>
    <w:p>
      <w:r>
        <w:t xml:space="preserve">The Competition Authority,  </w:t>
        <w:br/>
        <w:t xml:space="preserve">Having regard to the notification file sent to the concentrations service on July 30, 2012, regarding the exclusive control of the companies Garage des Côtes d'Armor, Garages de l’Odet, Société du garage de Penanguer, Garage de l'Aulne, and Garage Huitric by Bodemer SA, as evidenced by a transfer agreement dated July 9, 2012;  </w:t>
        <w:br/>
        <w:t xml:space="preserve">Having regard to Book IV of the Commercial Code relating to the freedom of prices and competition, and in particular Articles L. 430-1 to L. 430-7;  </w:t>
        <w:br/>
        <w:t>Adopts the following decision:</w:t>
      </w:r>
    </w:p>
    <w:p>
      <w:r>
        <w:t xml:space="preserve">I. The concerned companies and the operation  </w:t>
        <w:br/>
        <w:t xml:space="preserve">1. Bodemer SA (hereinafter, "Bodemer") is a company under French law controlled by Mr. Claude Bodemer. It operates 19 dealerships and agencies of the brands Renault, Dacia, and Nissan in the departments of Calvados (14), Côtes d'Armor (22), Manche (50), Morbihan (56), and Orne (61). These dealerships specialize in the distribution of new and used vehicles, the sale of spare parts and automotive accessories, and the repair and maintenance of vehicles.  </w:t>
        <w:br/>
        <w:t>2. The companies Garage des Côtes d’Armor, Garages de l’Odet, Société du garage de Penanguer, Garage de l’Aulne, and Garage Huitric (together, the "target companies") are companies under French law, currently controlled by MSA Groupe, which is itself 89.6% owned by members of the Schuller family. They operate Renault and Dacia brand dealerships in the departments of Côtes d’Armor (22) and Finistère (29). These dealerships specialize in the distribution of new and used vehicles, the sale of spare parts and automotive accessories, and the repair and maintenance of vehicles.</w:t>
      </w:r>
    </w:p>
    <w:p>
      <w:r>
        <w:t xml:space="preserve">3. The proposed transaction involves the acquisition by Bodemer SA of all the shares of Garage des Côtes d'Armor, Garages de l'Odet, Société du Garage de Penanguer, and Garage de l'Aulne, as well as 97.43% of the shares of Garage Huitric.  </w:t>
        <w:br/>
        <w:t xml:space="preserve">4. As it results in the exclusive control of the target companies by Bodemer SA, the notified transaction constitutes a concentration within the meaning of Article L. 430-1 of the Commercial Code.  </w:t>
        <w:br/>
        <w:t>5. At least two of the companies involved operate one or more retail stores and together achieve a total worldwide turnover of more than 75 million euros (Bodemer: 339.32 million euros for the fiscal year ending December 31, 2011; target companies: 110.76 million euros for the same fiscal year). At least two of these companies generate a turnover in France exceeding 15 million euros (Bodemer: 339.32 million euros for the fiscal year ending December 31, 2011; target companies: 110.76 million euros for the same fiscal year). Given these turnover figures, the transaction does not have a community dimension. However, the control thresholds mentioned in II of Article L. 430-2 of the Commercial Code are exceeded. This transaction is therefore subject to the provisions of Articles L. 430-3 and following of the Commercial Code relating to economic concentration.</w:t>
      </w:r>
    </w:p>
    <w:p>
      <w:r>
        <w:t xml:space="preserve">II. Definition of relevant markets  </w:t>
        <w:br/>
        <w:t xml:space="preserve">A. DEFINITION OF PRODUCT MARKETS  </w:t>
        <w:br/>
        <w:t xml:space="preserve">6. In the automotive distribution sector, the decisional practice distinguishes (i) the distribution of new passenger vehicles intended for individual customers; (ii) the distribution of new passenger vehicles intended for professional customers; (iii) the distribution of commercial vehicles (notably light utility vehicles); (iv) the distribution of used vehicles; (v) the distribution of spare parts and automotive accessories; (vi) the distribution of maintenance and repair services for motor vehicles; (vii) the distribution of rental services.  </w:t>
        <w:br/>
        <w:t xml:space="preserve">7. There is no need to challenge these definitions during the examination of the present transaction.  </w:t>
        <w:br/>
        <w:t>8. The concerned companies are simultaneously present in all of these markets.</w:t>
      </w:r>
    </w:p>
    <w:p>
      <w:r>
        <w:t xml:space="preserve">B. GEOGRAPHICAL DEFINITION OF MARKETS  </w:t>
        <w:br/>
        <w:t xml:space="preserve">9. Regarding the retail sale of new or used motor vehicles, spare parts and automotive accessories, and maintenance and repair services for motor vehicles, the decisional practice adopts a local definition, with the analysis generally conducted at the departmental level.  </w:t>
        <w:br/>
        <w:t>10. In the present case, the activities of the parties overlap only in the department of Côtes d'Armor (22). Consequently, the competitive analysis will be conducted in this department.</w:t>
      </w:r>
    </w:p>
    <w:p>
      <w:r>
        <w:t xml:space="preserve">III. Competitive Analysis  </w:t>
        <w:br/>
        <w:t xml:space="preserve">11. Regarding the sale of new vehicles, the decisional practice considers as an indicator, for the calculation of market shares, the ratio between the sales made by the parties in the department concerned by the operation and the total registrations of new vehicles of the corresponding category recorded in the same department by the prefectures.  </w:t>
        <w:br/>
        <w:t xml:space="preserve">12. In the department of Côtes d'Armor (22), across the different markets concerned by the operation, the parties to the concentration have the following market shares:  </w:t>
        <w:br/>
        <w:t xml:space="preserve">Côtes d'Armor  </w:t>
        <w:br/>
        <w:t xml:space="preserve">Bodemer Garage des Côtes Cumul  </w:t>
        <w:br/>
        <w:t xml:space="preserve">SA d'Armor  </w:t>
        <w:br/>
        <w:t xml:space="preserve">Distribution of new passenger vehicles intended for individual customers 19.7% 4.7% 24.4%  </w:t>
        <w:br/>
        <w:t xml:space="preserve">Distribution of new passenger vehicles intended for professional customers 17.2% 5% 22.2%  </w:t>
        <w:br/>
        <w:t xml:space="preserve">Distribution of new commercial vehicles 19.7% 3.2% 22.9%  </w:t>
        <w:br/>
        <w:t>Distribution of used vehicles 13.3% 3.2% 16.5%</w:t>
      </w:r>
    </w:p>
    <w:p>
      <w:r>
        <w:t xml:space="preserve">13. It follows from this data that Bodemer will represent a share of less than 25% of the various markets for the distribution of new motor vehicles, and less than 17% of the market for the distribution of used vehicles. Furthermore, the parties estimate that they do not hold more than 5% of the market for the rental of motor vehicles in the department of Côtes d’Armor. Following the concentration, they will still face competition from many other operators both under manufacturer brands and specialized brands such as U Location, Ada, Avis, Carrefour Location, Europcar, Hertz, or Leclerc.  </w:t>
        <w:br/>
        <w:t>14. In the market for the retail sale of spare parts and automotive accessories, the parties have not been able to provide their market shares. They also estimate that they represent 13.22% of the market for maintenance and repair services for motor vehicles in the department of Côtes d’Armor. In these two markets, it should also be noted that the new entity will face competition from other operators.</w:t>
      </w:r>
    </w:p>
    <w:p>
      <w:r>
        <w:rPr>
          <w:b/>
        </w:rPr>
        <w:t>[Pages 4–4]</w:t>
      </w:r>
    </w:p>
    <w:p>
      <w:r>
        <w:t>numerous other authorized dealers by manufacturers and many independent mechanics and repairers, as well as specialized brands such as Speedy garages, Euromaster, Feu Vert, Leclerc, and Norauto.</w:t>
      </w:r>
    </w:p>
    <w:p>
      <w:r>
        <w:t>15. Given the above elements, the transaction is not likely to harm competition in the relevant markets.</w:t>
      </w:r>
    </w:p>
    <w:p>
      <w:r>
        <w:t>DECIDES</w:t>
      </w:r>
    </w:p>
    <w:p>
      <w:r>
        <w:t>Sole Article: the transaction notified under number 12-133 is authorized.</w:t>
      </w:r>
    </w:p>
    <w:p>
      <w:r>
        <w:t>The President,</w:t>
      </w:r>
    </w:p>
    <w:p>
      <w:r>
        <w:t>Bruno Lasserre</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