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https://www.autoritedelaconcurrence.fr/fr/decision-de-controle-des-concentrations/relative-la-prise-de-controle-exclusif-des-societes-gauduel</w:t>
      </w:r>
    </w:p>
    <w:p>
      <w:r>
        <w:t>Pages translated : 2</w:t>
      </w:r>
    </w:p>
    <w:p/>
    <w:p>
      <w:r>
        <w:rPr>
          <w:b/>
        </w:rPr>
        <w:t>[Pages 1–2]</w:t>
      </w:r>
    </w:p>
    <w:p>
      <w:r>
        <w:t xml:space="preserve">FRENCH REPUBLIC  </w:t>
        <w:br/>
        <w:t xml:space="preserve">Decision No. 17-DCC-03 of January 11, 2017  </w:t>
        <w:br/>
        <w:t xml:space="preserve">regarding the exclusive control acquisition of Gauduel Automobiles and BMVDS by the Sofia group  </w:t>
        <w:br/>
        <w:t xml:space="preserve">The Competition Authority,  </w:t>
        <w:br/>
        <w:t xml:space="preserve">Having regard to the notification file sent to the mergers department on November 14, 2016, and declared complete on December 23, 2016, concerning the exclusive control acquisition of Gauduel Automobiles and BMVDS by the Sofia group, formalized by a transfer protocol dated October 5, 2016;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Gauduel Automobiles and BMVDS, active in the sector of distribution, maintenance, and repair of BMW and Mini brand automobiles in the Rhône department (69), by the Sofia group. This operation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16-245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