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https://www.autoritedelaconcurrence.fr/fr/decision-de-controle-des-concentrations/relative-la-prise-de-controle-exclusif-des-societes-ggl-sud</w:t>
      </w:r>
    </w:p>
    <w:p>
      <w:r>
        <w:t>Pages translated : 5</w:t>
      </w:r>
    </w:p>
    <w:p/>
    <w:p>
      <w:r>
        <w:rPr>
          <w:b/>
        </w:rPr>
        <w:t>[Pages 1–3]</w:t>
      </w:r>
    </w:p>
    <w:p>
      <w:r>
        <w:t>FRENCH REPUBLIC</w:t>
        <w:br/>
        <w:t>Decision No. 16-DCC-217 of December 16, 2016</w:t>
        <w:br/>
        <w:t>regarding the exclusive control of the companies GGL Sud and Société de Distribution des Automobiles du Limousin by the company Holding Midi Auto</w:t>
        <w:br/>
        <w:t>The Competition Authority,</w:t>
        <w:br/>
        <w:t>Having regard to the notification file submitted in full to the mergers service on November 16, 2016, regarding the exclusive control of the companies GGL Sud and Société de Distribution des Automobiles du Limousin by the company Holding Midi Auto, formalized by a transfer protocol dated November 5, 2016;</w:t>
        <w:br/>
        <w:t>Having regard to Book IV of the Commercial Code relating to the freedom of prices and competition, and in particular its Articles L. 430-1 to L. 430-7;</w:t>
        <w:br/>
        <w:t>Adopts the following decision:</w:t>
        <w:br/>
        <w:t>I. The companies concerned and the operation</w:t>
        <w:br/>
        <w:t>1. The company Holding Midi Auto is primarily active in the sector of distribution and repair of motor vehicles through twenty-three car dealerships of the brands Citroën and Peugeot located in the departments of Corrèze (19), Haute Vienne (87), Lot (46), Tarn-et-Garonne (82), Vaucluse (84), Morbihan (56), Finistère (29), Bouches-du-Rhône (13), Eure (27), Eure-et-Loir (28), and Oise (60). The company Holding Midi Auto is predominantly controlled by Mr. Bernard Hory.</w:t>
        <w:br/>
        <w:t>2. The companies GGL Sud and Société de Distribution des Automobiles du Limousin (hereinafter "SDAL") are active in the sector of distribution and repair of Citroën brand motor vehicles in the department of Haute-Vienne (87). They are controlled by the holding company P8 Automobiles, a subsidiary of the Groupe David Gerbier.</w:t>
        <w:br/>
        <w:t>3. Under the transfer protocol dated November 5, 2016, the company Holding Midi Auto will acquire the entirety of the capital of the companies GGL Sud and SDAL (hereinafter "the target companies"). As it results in the exclusive control of the target companies by Holding Midi Auto, the notified operation constitutes a concentration within the meaning of Article L. 430-1 of the Commercial Code.</w:t>
        <w:br/>
        <w:t>4. The companies concerned together achieve a total worldwide turnover of more than 75 million euros (Holding Midi Auto: 467 million euros for the last financial year ended December 31, 2015; the target companies: 66 million euros for the same financial year). The companies concerned achieve in France in the automotive distribution sector a turnover exceeding 15 million euros (Holding Midi Auto: 467 million euros for the last financial year ended December 31, 2015; the target companies: 66 million euros for the same financial year). Given these figures,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w:t>
        <w:br/>
        <w:t>II. Definition of relevant markets</w:t>
        <w:br/>
        <w:t>A. DEFINITION OF PRODUCT AND SERVICE MARKETS</w:t>
        <w:br/>
        <w:t>5. In the automotive distribution sector, decision-making practice1 distinguishes (i) the distribution of new passenger motor vehicles intended for a clientele of individuals; (ii) the distribution of new passenger motor vehicles intended for a clientele of professionals; (iii) the distribution of commercial motor vehicles; (iv) the distribution of used motor vehicles; (v) the distribution of spare parts and automotive accessories; (vi) the distribution of maintenance and repair services for motor vehicles; (vii) the distribution of rental services.</w:t>
        <w:br/>
        <w:t>6. There is no need to challenge these definitions during the examination of the present operation.</w:t>
        <w:br/>
        <w:t>7. The companies concerned are simultaneously present in all of these markets except for the market of rental services.</w:t>
        <w:br/>
        <w:t>B. GEOGRAPHICAL DEFINITION OF MARKETS</w:t>
        <w:br/>
        <w:t>8. Regarding the retail sale of motor vehicles, new or used, spare parts and automotive accessories, maintenance and repair services for motor vehicles, decision-making practice2 adopts a local definition, with the analysis generally conducted at the departmental level.</w:t>
        <w:br/>
        <w:t>1 See in particular Decision No. 09-DCC-01 of the Competition Authority of April 8, 2009, and Decision No. 10-DCC-23 of March 1, 2010.</w:t>
        <w:br/>
        <w:t>2 See the aforementioned decisions.</w:t>
      </w:r>
    </w:p>
    <w:p>
      <w:r>
        <w:t>9. Furthermore, in transactions where the purchaser is active in the departments adjacent to those in which the target is present, the Authority also conducts a competitive analysis on a market extended to all of these departments.</w:t>
        <w:br/>
        <w:t>10. In the case at hand, the parties are simultaneously active in the department of Haute Vienne (87). The analysis will be extended to the neighboring department of Corrèze (19) where the purchaser is also present.</w:t>
        <w:br/>
        <w:t>III. Competitive Analysis</w:t>
        <w:br/>
        <w:t>11. Regarding the calculation of market shares, decision-making practice3 uses as an indicator the ratio between the sales of new vehicles made by the parties in the departments concerned by the transaction and the total registrations of new vehicles recorded in these same departments by the prefectures.</w:t>
        <w:br/>
        <w:t>12. In the department of Haute Vienne (87) where the operation results in an overlap of activities, in the various markets concerned by the operation, the parties to the concentration hold the following cumulative market shares:</w:t>
        <w:br/>
        <w:t>Department of Haute Vienne (87) Cumulative Market Share</w:t>
        <w:br/>
        <w:t>Distribution of new passenger motor vehicles intended for a clientele of individuals 22.6%</w:t>
        <w:br/>
        <w:t>Distribution of new passenger vehicles intended for a clientele of professionals 29.9%</w:t>
        <w:br/>
        <w:t>Distribution of new commercial vehicles 18.5%</w:t>
        <w:br/>
        <w:t>Distribution of used vehicles 8.2%</w:t>
        <w:br/>
        <w:t>13. In a geographical area comprising the departments of Haute Vienne (87) and Corrèze (19) where the parties operate dealerships, for each of the markets concerned by the operation, the parties to the concentration hold the following cumulative market shares:</w:t>
        <w:br/>
        <w:t>Departments of Haute Vienne (87) and Corrèze (19) Cumulative Market Share</w:t>
        <w:br/>
        <w:t>Distribution of new passenger motor vehicles intended for a clientele of individuals 19%</w:t>
      </w:r>
    </w:p>
    <w:p>
      <w:r>
        <w:rPr>
          <w:b/>
        </w:rPr>
        <w:t>[Pages 4–5]</w:t>
      </w:r>
    </w:p>
    <w:p>
      <w:r>
        <w:t>Departments of Haute Vienne (87) and Corrèze (19) Cumulative Market Share</w:t>
        <w:br/>
        <w:t>Distribution of new passenger vehicles intended for a clientele of 23% professionals</w:t>
        <w:br/>
        <w:t>Distribution of new commercial vehicles 18.6%</w:t>
        <w:br/>
        <w:t>Distribution of used vehicles 7.2%</w:t>
        <w:br/>
        <w:t>14. The market shares of Holding Midi Auto will, following the operation, be below 25% in the various vehicle distribution markets except for the market of new passenger vehicle distribution intended for a professional clientele in Haute Vienne (89). However, in this market, the position of the new entity will not exceed 30% with a moderate market share increment, estimated at 3.9%. Furthermore, Holding Midi Auto will remain in competition with thirteen independent Citroën brand dealers as well as with numerous dealers of competing brands.</w:t>
      </w:r>
    </w:p>
    <w:p>
      <w:r>
        <w:t>15. The operation is therefore not likely to harm competition in these markets.</w:t>
      </w:r>
    </w:p>
    <w:p>
      <w:r>
        <w:t>A. MARKETS FOR SPARE PARTS AND MAINTENANCE AND REPAIR SERVICES</w:t>
      </w:r>
    </w:p>
    <w:p>
      <w:r>
        <w:t>16. In the retail market for automotive spare parts and accessories and in the market for maintenance and repair services for motor vehicles, the parties have not been able to produce their market shares. However, it should be noted that, in the departments concerned, Holding Midi Auto will face competition from fourteen Peugeot brand dealers and agents and thirteen Citroën brand dealers and garages. Holding Midi Auto will also face competition from numerous independent mechanics and repairers, as well as from specialized chains such as Speedy, Midas, and Feu Vert, which are likely to offer consumers identical or equivalent quality spare parts and accessories, and maintenance and repair services for motor vehicles similar to those distributed by the various entities.</w:t>
      </w:r>
    </w:p>
    <w:p>
      <w:r>
        <w:t>17. Given the above elements, the operation is not likely to harm competition.</w:t>
      </w:r>
    </w:p>
    <w:p>
      <w:r>
        <w:t>DECIDES</w:t>
        <w:br/>
        <w:t>Sole Article: The operation notified under number 16-217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