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https://www.autoritedelaconcurrence.fr/fr/decision-de-controle-des-concentrations/relative-la-prise-de-controle-exclusif-des-societes-ghestem</w:t>
      </w:r>
    </w:p>
    <w:p>
      <w:r>
        <w:t>Pages translated : 2</w:t>
      </w:r>
    </w:p>
    <w:p/>
    <w:p>
      <w:r>
        <w:rPr>
          <w:b/>
        </w:rPr>
        <w:t>[Pages 1–2]</w:t>
      </w:r>
    </w:p>
    <w:p>
      <w:r>
        <w:t xml:space="preserve">FRENCH REPUBLIC  </w:t>
        <w:br/>
        <w:t xml:space="preserve">Decision No. 18-DCC-17 of January 23, 2018  </w:t>
        <w:br/>
        <w:t xml:space="preserve">regarding the exclusive control acquisition of Ghestem Location and Ghestem Centre by Financière Mauffrey  </w:t>
        <w:br/>
        <w:t xml:space="preserve">The Competition Authority,  </w:t>
        <w:br/>
        <w:t xml:space="preserve">Having regard to the complete notification file submitted to the mergers department on December 20, 2017, concerning the exclusive control acquisition of Ghestem Location and Ghestem Centre by Financière Mauffrey, formalized by two share transfer agreements dated December 19, 2017;  </w:t>
        <w:br/>
        <w:t xml:space="preserve">Having regard to Book IV of the Commercial Code relating to the freedom of prices and competition, and in particular its Articles L. 430-1 to L. 430-7;  </w:t>
        <w:br/>
        <w:t xml:space="preserve">Having regard to the additional information provided by the parties during the investigation;  </w:t>
        <w:br/>
        <w:t xml:space="preserve">Adopts the following decision:  </w:t>
        <w:br/>
        <w:t xml:space="preserve">1. The notified operation consists of the acquisition by Financière Mauffrey of exclusive control over Ghestem Location, Ghestem Centre, and their subsidiaries. It constitutes a concentration within the meaning of Article L. 430-1 of the Commercial Code. Given the turnover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for the land transport of goods, which are consistently defined by the decision-making practice of the Competition Authority.  </w:t>
        <w:br/>
        <w:t xml:space="preserve">3. Regardless of the segmentations retained, the estimated market shares of the new entity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17-258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