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https://www.autoritedelaconcurrence.fr/fr/decision-de-controle-des-concentrations/relative-la-prise-de-controle-exclusif-des-societes-grimal</w:t>
      </w:r>
    </w:p>
    <w:p>
      <w:r>
        <w:t>Pages translated : 2</w:t>
      </w:r>
    </w:p>
    <w:p/>
    <w:p>
      <w:r>
        <w:rPr>
          <w:b/>
        </w:rPr>
        <w:t>[Pages 1–2]</w:t>
      </w:r>
    </w:p>
    <w:p>
      <w:r>
        <w:t xml:space="preserve">FRENCH REPUBLIC  </w:t>
        <w:br/>
        <w:t xml:space="preserve">Decision No. 22-DCC-92 of June 2, 2022  </w:t>
        <w:br/>
        <w:t xml:space="preserve">regarding the exclusive control acquisition of the companies Grimal Automobiles, Mondial Park Auto, and Grimal Auto Premium by the Tressol Chabrier group  </w:t>
        <w:br/>
        <w:t xml:space="preserve">The Competition Authority,  </w:t>
        <w:br/>
        <w:t xml:space="preserve">Having regard to the complete notification file sent to the mergers department on May 17, 2022, concerning the exclusive control acquisition of the companies Grimal Automobiles, Grimal Auto Premium, and Mondial Park Auto belonging to the Grimal group by the company N.D.K, a subsidiary of the Tressol Chabrier group, formalized by a memorandum of understanding dated May 13,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Tressol Chabrier group, active in the automotive distribution sector, of the companies Grimal Automobiles, Grimal Auto Premium, and Mondial Park Auto, operating dealerships in Albi (81) and Castres (81).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22-116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