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https://www.autoritedelaconcurrence.fr/fr/decision-de-controle-des-concentrations/relative-la-prise-de-controle-exclusif-des-societes-griset</w:t>
      </w:r>
    </w:p>
    <w:p>
      <w:r>
        <w:t>Pages translated : 3</w:t>
      </w:r>
    </w:p>
    <w:p/>
    <w:p>
      <w:r>
        <w:rPr>
          <w:b/>
        </w:rPr>
        <w:t>[Pages 1–3]</w:t>
      </w:r>
    </w:p>
    <w:p>
      <w:r>
        <w:t xml:space="preserve">FRENCH REPUBLIC  </w:t>
        <w:br/>
        <w:t xml:space="preserve">Decision No. 12-DCC-10 of January 26, 2012  </w:t>
        <w:br/>
        <w:t>regarding the exclusive control of the companies Griset SAS and Diehl Metall Malaysia by Bavaria France Holding SAS</w:t>
      </w:r>
    </w:p>
    <w:p>
      <w:r>
        <w:t xml:space="preserve">The Competition Authority,  </w:t>
        <w:br/>
        <w:t xml:space="preserve">Having regard to the notification file submitted in full to the merger service on December 22, 2011, regarding the exclusive control by Bavaria France Holding SAS of the companies Griset SAS and Diehl Metall Malaysia, formalized by a share transfer agreement signed on December 12, 2011;  </w:t>
        <w:br/>
        <w:t xml:space="preserve">Having regard to Book IV of the Commercial Code relating to the freedom of prices and competition, and in particular its Articles L.430-1 to L.430-7;  </w:t>
        <w:br/>
        <w:t>Adopts the following decision:</w:t>
      </w:r>
    </w:p>
    <w:p>
      <w:r>
        <w:t xml:space="preserve">I. The companies concerned and the transaction  </w:t>
        <w:br/>
        <w:t xml:space="preserve">1. Bavaria France Holding SAS, a simplified joint-stock company, is indirectly controlled by Bavaria Industriekapital AG, a German law company at the head of the Bavaria group (hereinafter "Bavaria group"). The Bavaria group is controlled by the German law company AS Vermögensverwaltungs GmbH, which is itself owned by Mr. Reimar Scholz.  </w:t>
        <w:br/>
        <w:t xml:space="preserve">2. The Bavaria group specializes in restructuring operations and restoring the budgetary balance of the companies it acquires. It organizes its activities around three poles: i) mass production; ii) construction and design of factories; and iii) business services.  </w:t>
        <w:br/>
        <w:t>3. The simplified joint-stock company Griset and its subsidiary, Diehl Metall Malaysia, (hereinafter "the Target"), operate copper foundry and rolling mills, as well as copper and aluminum alloy production. They are active in the sectors of i) metal foundry, ii) hot and cold rolling, iii) heat treatment, and iv) shearing and finishing of copper strips and copper alloys. Their clients are active in the sectors of connector and semiconductor industry, automotive industry, and consumer electronics industry.</w:t>
      </w:r>
    </w:p>
    <w:p>
      <w:r>
        <w:t xml:space="preserve">4. The transaction consists of the acquisition of exclusive control of the company Griset and its subsidiary Diehl Metall Malaysia by the Bavaria group, pursuant to a share transfer agreement signed on December 12, 2011, between Bavaria France Holding SAS on one hand and Griset SAS on the other. The acquisition will be carried out by a newly created company owned […]% by Bavaria France and […]% by a German subsidiary of the Bavaria group. As it results in the exclusive control of the Target by the Bavaria group, the notified transaction constitutes a concentration operation within the meaning of Article L.430-1 of the Commercial Code.  </w:t>
        <w:br/>
        <w:t>5. The companies concerned together achieve a total worldwide turnover of more than 150 million euros (Bavaria group: […] million euros for the fiscal year ending December 31, 2010; the Target: […] million euros for the same year). Each achieves, in France, a turnover exceeding 50 million euros (Bavaria: […] million euros for the fiscal year ending December 31, 2010; the Target: […] million euros for the same year). Given these turnover figures, the transaction does not have a community dimension. However, the control thresholds mentioned in point I of Article L. 430-2 of the Commercial Code are exceeded. This transaction is therefore subject to the provisions of Articles L. 430-3 and following of the Commercial Code relating to economic concentration.</w:t>
      </w:r>
    </w:p>
    <w:p>
      <w:r>
        <w:t xml:space="preserve">II. Competitive analysis  </w:t>
        <w:br/>
        <w:t xml:space="preserve">6. The Bavaria group is active in the production of components and various parts as part of its mass production activities, in the construction of machines and production and assembly systems as part of its factory construction and design activities, and finally, in the production of electronic components, pharmaceuticals, cosmetics, paper and aluminum paper, as well as in telecommunications network services and services on behalf of pharmaceutical laboratories.  </w:t>
        <w:br/>
        <w:t xml:space="preserve">7. The Target supplies medium-sized batches of rolled copper and high-precision copper alloy. Its clients are specialists in metal stamping of small parts for the automotive, electrical, and mechanical industries.  </w:t>
        <w:br/>
        <w:t xml:space="preserve">8. Thus, the parties to the concentration are suppliers, directly or indirectly, of products for the automotive industry. However, the parts and products manufactured differ in their nature and use and are not purchased by the same clients in the automotive industry. Indeed, Bavaria's clients are automobile manufacturers while the Target's clients are upstream suppliers to the automotive industry.  </w:t>
        <w:br/>
        <w:t>9. The Bavaria group therefore does not control any competing company of the Target, nor is it active in an upstream, downstream, or related market. They do not have any common clients or suppliers. Consequently, the transaction is not likely to harm competition.</w:t>
      </w:r>
    </w:p>
    <w:p>
      <w:r>
        <w:t xml:space="preserve">DECIDES  </w:t>
        <w:br/>
        <w:t xml:space="preserve">Sole Article: The transaction notified under number 11-242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