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https://www.autoritedelaconcurrence.fr/fr/decision-de-controle-des-concentrations/relative-la-prise-de-controle-exclusif-des-societes-groupe</w:t>
      </w:r>
    </w:p>
    <w:p>
      <w:r>
        <w:t>Pages translated : 2</w:t>
      </w:r>
    </w:p>
    <w:p/>
    <w:p>
      <w:r>
        <w:rPr>
          <w:b/>
        </w:rPr>
        <w:t>[Pages 1–2]</w:t>
      </w:r>
    </w:p>
    <w:p>
      <w:r>
        <w:t xml:space="preserve">FRENCH REPUBLIC  </w:t>
        <w:br/>
        <w:t xml:space="preserve">Decision No. 21-DCC-112 of June 24, 2021  </w:t>
        <w:br/>
        <w:t xml:space="preserve">regarding the exclusive control acquisition of the companies Groupe Duffort Chartres, Groupe Duffort Les Ulis, and Groupe Duffort Orléans by the company BPM Group  </w:t>
        <w:br/>
        <w:t xml:space="preserve">The Competition Authority,  </w:t>
        <w:br/>
        <w:t xml:space="preserve">Having regard to the notification file sent to the mergers department on May 19, 2021, declared complete on June 11, 2021, concerning the exclusive control acquisition of the companies Groupe Duffort Chartres, Groupe Duffort Les Ulis, and Groupe Duffort Orléans, formalized by a letter of intent dated May 7,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Groupe Duffort Chartres, Groupe Duffort Les Ulis, and Groupe Duffort Orléans, which operate automobile concessions respectively located in Nogent-le-Phaye (28), Les Ulis (91), and Orléans (45), by the company BPM Group,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21-108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