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https://www.autoritedelaconcurrence.fr/fr/decision-de-controle-des-concentrations/relative-la-prise-de-controle-exclusif-des-societes-guenant</w:t>
      </w:r>
    </w:p>
    <w:p>
      <w:r>
        <w:t>Pages translated : 2</w:t>
      </w:r>
    </w:p>
    <w:p/>
    <w:p>
      <w:r>
        <w:rPr>
          <w:b/>
        </w:rPr>
        <w:t>[Pages 1–2]</w:t>
      </w:r>
    </w:p>
    <w:p>
      <w:r>
        <w:t xml:space="preserve">FRENCH REPUBLIC  </w:t>
        <w:br/>
        <w:t xml:space="preserve">Decision No. 21-DCC-238 of December 8, 2021  </w:t>
        <w:br/>
        <w:t xml:space="preserve">regarding the exclusive control acquisition of the companies Guénant Javel Automotive and Trident by the company Groupe Dubreuil  </w:t>
        <w:br/>
        <w:t xml:space="preserve">The Competition Authority,  </w:t>
        <w:br/>
        <w:t xml:space="preserve">Having regard to the complete notification file submitted to the mergers department on November 16, 2021, concerning the exclusive control acquisition of the companies Guénant Javel Automotive and Trident by the company Groupe Dubreuil, formalized by a transfer and acquisition contract signed on November 10, 2021, and a letter of intent signed on June 2,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Guénant Javel Automotive, which operates twelve car dealerships under the brands Citroën and DS located in the municipalities of Bressuire (79), Challans (85), Château d’Olonne (85), Cholet (49), Fontenay-le-Comte (85), La Roche-sur-Yon (85), Luçon (85), and Saint-Gilles-Croix-de-Vie (85), and of the company Trident, which operates a car dealership under the Maserati brand located in the municipality of La Roche-sur-Yon (85), by the company Groupe Dubreuil,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21-229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