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https://www.autoritedelaconcurrence.fr/fr/decision-de-controle-des-concentrations/relative-la-prise-de-controle-exclusif-des-societes-gunnebo</w:t>
      </w:r>
    </w:p>
    <w:p>
      <w:r>
        <w:t>Pages translated : 2</w:t>
      </w:r>
    </w:p>
    <w:p/>
    <w:p>
      <w:r>
        <w:rPr>
          <w:b/>
        </w:rPr>
        <w:t>[Pages 1–2]</w:t>
      </w:r>
    </w:p>
    <w:p>
      <w:r>
        <w:t xml:space="preserve">FRENCH REPUBLIC  </w:t>
        <w:br/>
        <w:t xml:space="preserve">Decision No. 18-DCC-190 of November 6, 2018  </w:t>
        <w:br/>
        <w:t xml:space="preserve">regarding the exclusive control acquisition of the companies Gunnebo France, Gunnebo Belgium, and Gunnebo Luxembourg by the OpenGate funds  </w:t>
        <w:br/>
        <w:t xml:space="preserve">The Competition Authority,  </w:t>
        <w:br/>
        <w:t xml:space="preserve">Having regard to the complete notification file submitted to the mergers department on October 11, 2018, concerning the exclusive control acquisition of the companies Gunnebo France, Gunnebo Belgium, and Gunnebo Luxembourg by the investment funds OpenGate Capital Partners I, LP and OpenGate Capital Partners I-A, LP (hereinafter, "the OpenGate funds"), and formalized by a transfer agreement dated October 9,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OpenGate funds of the companies Gunnebo France, Gunnebo Belgium, and Gunnebo Luxembourg, which are active in the sector of the supply of security equipment and systems.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18-216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