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https://www.autoritedelaconcurrence.fr/fr/decision-de-controle-des-concentrations/relative-la-prise-de-controle-exclusif-des-societes-habitat</w:t>
      </w:r>
    </w:p>
    <w:p>
      <w:r>
        <w:t>Pages translated : 6</w:t>
      </w:r>
    </w:p>
    <w:p/>
    <w:p>
      <w:r>
        <w:rPr>
          <w:b/>
        </w:rPr>
        <w:t>[Pages 1–3]</w:t>
      </w:r>
    </w:p>
    <w:p>
      <w:r>
        <w:t xml:space="preserve">FRENCH REPUBLIC  </w:t>
        <w:br/>
        <w:t xml:space="preserve">Decision No. 11-DCC-136 of September 14, 2011  </w:t>
        <w:br/>
        <w:t xml:space="preserve">regarding the exclusive control of the companies Habitat France SAS,  </w:t>
        <w:br/>
        <w:t xml:space="preserve">Compania de Equipamientos del Hogar – Habitat SA and Habitat  </w:t>
        <w:br/>
        <w:t>Deutschland GmbH by the company Cafom</w:t>
      </w:r>
    </w:p>
    <w:p>
      <w:r>
        <w:t xml:space="preserve">The Competition Authority,  </w:t>
        <w:br/>
        <w:t xml:space="preserve">Having regard to the notification file, submitted complete to the merger service on August 12, 2011,  </w:t>
        <w:br/>
        <w:t xml:space="preserve">regarding the exclusive control by the company Cafom of the companies Habitat France SAS,  </w:t>
        <w:br/>
        <w:t xml:space="preserve">Compania de Equipamientos del Hogar – Habitat SA (hereinafter "Habitat Spain") and  </w:t>
        <w:br/>
        <w:t xml:space="preserve">Habitat Deutschland GmbH (hereinafter "Habitat Germany"), formalized by a transfer contract signed on July 25, 2011;  </w:t>
        <w:br/>
        <w:t xml:space="preserve">Having regard to Book IV of the Commercial Code relating to price freedom and competition, and  </w:t>
        <w:br/>
        <w:t xml:space="preserve">notably its Articles L. 430-1 to L. 430-10;  </w:t>
        <w:br/>
        <w:t xml:space="preserve">Having regard to the additional elements transmitted by the parties during the investigation;  </w:t>
        <w:br/>
        <w:t>Adopts the following decision:</w:t>
      </w:r>
    </w:p>
    <w:p>
      <w:r>
        <w:t xml:space="preserve">I. The companies concerned and the operation  </w:t>
        <w:br/>
        <w:t xml:space="preserve">1. The company Cafom, subject to fluctuating control by its shareholders, is the parent holding company  </w:t>
        <w:br/>
        <w:t xml:space="preserve">of the Cafom group, active in the retail distribution sector of furniture and decoration products,  </w:t>
        <w:br/>
        <w:t xml:space="preserve">and household appliances. It operates stores in overseas departments and communities, notably under the brands But, Conforama, Musique et Son, and First déco. The Cafom group also sells the same type of  </w:t>
        <w:br/>
        <w:t xml:space="preserve">products on websites (vente-unique.com and directlowcost.com).  </w:t>
        <w:br/>
        <w:t xml:space="preserve">2. The companies Habitat France SAS, Compania de Equipamientos del Hogar – Habitat SA and  </w:t>
        <w:br/>
        <w:t xml:space="preserve">Habitat Deutschland GmbH (hereinafter "the Habitat companies France, Spain, and Germany")  </w:t>
        <w:br/>
        <w:t xml:space="preserve">are all controlled by the investment fund Hilco UK Ltd, via the holding company of the  </w:t>
        <w:br/>
        <w:t xml:space="preserve">Habitat group, Habitat Holding BV. These three companies are active respectively  </w:t>
        <w:br/>
        <w:t>in France, Spain, and Germany in the sector of furniture and decoration products. The company Habitat France SAS operates 26 stores in France. It also manages</w:t>
      </w:r>
    </w:p>
    <w:p>
      <w:r>
        <w:t xml:space="preserve">a logistics platform from which the Habitat Spain and Habitat Germany companies source their supplies.  </w:t>
        <w:br/>
        <w:t xml:space="preserve">3. The operation, formalized by a transfer contract signed on July 25, 2011, provides for the transfer of  </w:t>
        <w:br/>
        <w:t xml:space="preserve">100% of the capital of Habitat France, Habitat Spain, and Habitat Germany to Cafom and  </w:t>
        <w:br/>
        <w:t xml:space="preserve">therefore consists of the exclusive control of the Habitat companies by Cafom. Consequently, this operation constitutes a concentration within the meaning of Article L. 430-1  </w:t>
        <w:br/>
        <w:t xml:space="preserve">of the Commercial Code.  </w:t>
        <w:br/>
        <w:t xml:space="preserve">4. The companies concerned achieve a combined total turnover worldwide of  </w:t>
        <w:br/>
        <w:t xml:space="preserve">more than 150 million euros (Cafom: [...] million euros for the fiscal year ending  </w:t>
        <w:br/>
        <w:t xml:space="preserve">March 31, 2010; the Habitat companies: [...] million euros for the same fiscal year). The  </w:t>
        <w:br/>
        <w:t xml:space="preserve">companies concerned each achieve, in France, a turnover exceeding  </w:t>
        <w:br/>
        <w:t xml:space="preserve">50 million euros (Cafom: [...] million euros for the fiscal year ending March 31, 2010; the  </w:t>
        <w:br/>
        <w:t xml:space="preserve">Habitat companies: [...] million euros for the same fiscal year). Given these turnover figures,  </w:t>
        <w:br/>
        <w:t xml:space="preserve">the operation does not have a community dimension. On the other hand, the control thresholds mentioned in I of Article L. 430-2 of the Commercial Code are exceeded. This  </w:t>
        <w:br/>
        <w:t>operation is therefore subject to the provisions of Articles L. 430-3 and following of the Commercial Code, relating to economic concentration.</w:t>
      </w:r>
    </w:p>
    <w:p>
      <w:r>
        <w:t xml:space="preserve">II. Delimitation of the relevant markets  </w:t>
        <w:br/>
        <w:t xml:space="preserve">A. DELIMITATION OF MARKETS IN TERMS OF PRODUCTS  </w:t>
        <w:br/>
        <w:t xml:space="preserve">5. In the retail sector, competition authorities generally recognize  </w:t>
        <w:br/>
        <w:t xml:space="preserve">two categories of markets: (i) downstream markets, of local dimension, which bring together  </w:t>
        <w:br/>
        <w:t xml:space="preserve">retail companies and final consumers, and (ii) upstream markets for the supply of retail companies.  </w:t>
        <w:br/>
        <w:t xml:space="preserve">6. As recalled by the Competition Council in the Cafom/Fincar opinion, "the type of  </w:t>
        <w:br/>
        <w:t xml:space="preserve">products sold is one of the most important criteria for delimiting markets in the  </w:t>
        <w:br/>
        <w:t xml:space="preserve">retail sector." Furthermore, "the format and size of the store are also important criteria for market delimitation in that they determine, in particular, the ability of the considered point of sale to market a greater or lesser number of products or to offer certain ancillary services. Large specialized stores (GSS) are thus distinguished from large food stores (GSA) and proximity commerce."1  </w:t>
        <w:br/>
        <w:t xml:space="preserve">7. In this case, the parties are simultaneously active in the retail sector of  </w:t>
        <w:br/>
        <w:t>furniture products and bazaar and decoration products.</w:t>
      </w:r>
    </w:p>
    <w:p>
      <w:r>
        <w:t xml:space="preserve">1 See the decision of the Minister C2006-155 Cafom / Fincar of August 31, 2007, and the opinion of the Competition Council 07-A-06 on this same  </w:t>
        <w:br/>
        <w:t>operation of July 16, 2007.</w:t>
      </w:r>
    </w:p>
    <w:p>
      <w:r>
        <w:t xml:space="preserve">1. DOWNSTREAM MARKETS FOR RETAIL DISTRIBUTION OF FURNITURE AND DECORATION PRODUCTS  </w:t>
        <w:br/>
        <w:t xml:space="preserve">8. Furniture and decoration products include all products intended to furnish  </w:t>
        <w:br/>
        <w:t xml:space="preserve">the rooms of a dwelling (chairs, sofas, tables, kitchen elements, bathroom elements, bedding, buffets, storage, desks, etc.) as well as all products intended to decorate  </w:t>
        <w:br/>
        <w:t xml:space="preserve">this dwelling (curtains, rugs, lighting, various decorative objects, etc.)2.  </w:t>
        <w:br/>
        <w:t xml:space="preserve">9. Competition authorities have distinguished the retail sale of furniture products from the  </w:t>
        <w:br/>
        <w:t xml:space="preserve">retail sale of bazaar and decoration products, due to differences in  </w:t>
        <w:br/>
        <w:t xml:space="preserve">the assortment of suppliers, purchasing behaviors, and the functions of the  </w:t>
        <w:br/>
        <w:t xml:space="preserve">products concerned, with the two categories of products being complementary and not  </w:t>
        <w:br/>
        <w:t xml:space="preserve">substitutable3.  </w:t>
        <w:br/>
        <w:t xml:space="preserve">10. Furthermore, for both the retail sale of furniture products and the retail sale of bazaar and decoration products, decisional practice has retained a  </w:t>
        <w:br/>
        <w:t xml:space="preserve">segmentation of markets by distribution channel4 and has distinguished sales in stores from  </w:t>
        <w:br/>
        <w:t xml:space="preserve">distance selling, all distance selling channels combined5. Regarding sales in  </w:t>
        <w:br/>
        <w:t xml:space="preserve">stores, decisional practice has retained a segmentation according to the format and size of  </w:t>
        <w:br/>
        <w:t xml:space="preserve">stores, between large food stores (GSA), large specialized stores (GSS), and proximity stores. There is no reason to challenge this definition in the context of the examination of the present operation. The stores concerned by the present operation belong to the category of large specialized stores (GSS) offering the final consumer a wide assortment of products throughout the year.  </w:t>
        <w:br/>
        <w:t>11. Regarding the retail sale of furniture products, French competition authorities6 have also considered a segmentation in terms of product range given the differences in price and service offered. In this case, the parties to the operation are active in the marketing of "low-end" and "mid-range" furniture, as opposed to "high-end" stores, notably represented by the brands Roche Bobois, Ligne Roset, Cinna, or Bo Concept.</w:t>
      </w:r>
    </w:p>
    <w:p>
      <w:r>
        <w:t xml:space="preserve">2. UPSTREAM MARKETS FOR THE SUPPLY OF FURNITURE PRODUCTS AND BAZAAR AND DECORATION PRODUCTS  </w:t>
        <w:br/>
        <w:t xml:space="preserve">12. Regarding the upstream markets for supply, decisional practice7 has considered that, since producers cannot easily convert to the manufacture of other products than those they manufacture, it is appropriate to distinguish as many  </w:t>
        <w:br/>
        <w:t xml:space="preserve">2 See, in this regard, the decision C2006-155 and the aforementioned opinion of the Competition Council 07-A-06.  </w:t>
        <w:br/>
        <w:t xml:space="preserve">Also see decision No. 11-DCC-78 of May 18, 2011, regarding the acquisition of the Titouan group by the Conforama group.  </w:t>
        <w:br/>
        <w:t xml:space="preserve">3 See the decision C2006-155 and the aforementioned opinion of the Competition Council 07-A-06.  </w:t>
        <w:br/>
        <w:t xml:space="preserve">4 See the aforementioned decision C2006-155, the decisions of the Competition Authority 10-DCC-42 of May 25, 2010, regarding the acquisition  </w:t>
        <w:br/>
        <w:t xml:space="preserve">by the company 3 Suisses International SA of certain assets of the company La source, 11-DCC-78 aforementioned, and the decision of the European Commission M.5721 of February 16, 2010, Otto/Primondo Assets.  </w:t>
        <w:br/>
        <w:t xml:space="preserve">5 See notably the decision of the Competition Authority 10-DCC-42 aforementioned and the decision of the European Commission M.5721  </w:t>
        <w:br/>
        <w:t xml:space="preserve">aforementioned.  </w:t>
        <w:br/>
        <w:t xml:space="preserve">6 See the aforementioned decision C2006-155.  </w:t>
        <w:br/>
        <w:t xml:space="preserve">7 See the opinion of the Competition Council No. 97-A-04 of January 21, 1997, regarding various issues concerning the concentration of distribution.  </w:t>
        <w:br/>
        <w:t>3</w:t>
      </w:r>
    </w:p>
    <w:p>
      <w:r>
        <w:rPr>
          <w:b/>
        </w:rPr>
        <w:t>[Pages 4–6]</w:t>
      </w:r>
    </w:p>
    <w:p>
      <w:r>
        <w:t>markets as well as product families on which the negotiation focuses, with each distributor putting various suppliers in competition on each of the markets8.</w:t>
      </w:r>
    </w:p>
    <w:p>
      <w:r>
        <w:t>13. Therefore, a distribution by product group can be considered relevant.</w:t>
      </w:r>
    </w:p>
    <w:p>
      <w:r>
        <w:t>14. Specifically regarding the supply of furniture products, on one hand, and bazaar and decoration products, on the other hand, the decisional practice9, notably taking into account the organization of the distributors' "purchase" divisions, has identified the following markets:</w:t>
        <w:br/>
        <w:t>- supply of furniture;</w:t>
        <w:br/>
        <w:t>- supply of bazaar-decoration products.</w:t>
      </w:r>
    </w:p>
    <w:p>
      <w:r>
        <w:t>15. There is no reason to challenge this delimitation on the occasion of the present operation.</w:t>
      </w:r>
    </w:p>
    <w:p>
      <w:r>
        <w:t>16. In this case, the parties to the operation are both active as buyers in these markets.</w:t>
      </w:r>
    </w:p>
    <w:p>
      <w:r>
        <w:t>B. GEOGRAPHICAL DELIMITATION OF MARKETS</w:t>
      </w:r>
    </w:p>
    <w:p>
      <w:r>
        <w:t>1. DOWNSTREAM MARKETS FOR RETAIL DISTRIBUTION OF FURNITURE PRODUCTS AND BAZAAR AND DECORATION PRODUCTS</w:t>
      </w:r>
    </w:p>
    <w:p>
      <w:r>
        <w:t>17. The decisional practice has considered that the markets for retail distribution in physical points of sale10 are of a local dimension, whereas the markets for distance selling11 are of a national dimension. There is no reason to challenge this delimitation on the occasion of the present operation.</w:t>
      </w:r>
    </w:p>
    <w:p>
      <w:r>
        <w:t>18. In this case, Cafom operates stores only in the overseas departments and territories, while the Habitat companies operate stores only in metropolitan France, Monaco, Germany, and Spain. Consequently, the operation does not result in any overlap of activity in the retail sale of furniture, bazaar, and decoration products. The competitive analysis will therefore focus only on distance selling.</w:t>
      </w:r>
    </w:p>
    <w:p>
      <w:r>
        <w:t>2. UPSTREAM MARKETS FOR THE SUPPLY OF ELECTRICAL APPLIANCES, FURNITURE PRODUCTS, AND BAZAAR AND DECORATION PRODUCTS</w:t>
      </w:r>
    </w:p>
    <w:p>
      <w:r>
        <w:t>19. Regarding the supply markets, the decisional practice of the competition authorities has retained at least a national dimension, if not a European one12. There is no reason to challenge this delimitation on the occasion of the present operation.</w:t>
      </w:r>
    </w:p>
    <w:p>
      <w:r>
        <w:t>8 See in particular the decisions of the Autorité de la concurrence 09-DCC-21 of July 23, 2009, concerning the exclusive control of the company DVMM by the But group, and the aforementioned decision 10-DCC-42.</w:t>
      </w:r>
    </w:p>
    <w:p>
      <w:r>
        <w:t>9 See the decision of the Autorité de la concurrence 11-DCC-78 mentioned above and the opinion of the Conseil de la concurrence 07-A-06 mentioned above.</w:t>
      </w:r>
    </w:p>
    <w:p>
      <w:r>
        <w:t>10 See in particular the decision of the Autorité de la concurrence 09-DCC-21 mentioned above and the decision 09-DCC-62 of November 2, 2009, concerning the exclusive control of the company Modera by the But group.</w:t>
      </w:r>
    </w:p>
    <w:p>
      <w:r>
        <w:t>11 See the decision of the Autorité de la concurrence 10-DCC-42 mentioned above, and the decision of the European Commission M.5721 mentioned above.</w:t>
      </w:r>
    </w:p>
    <w:p>
      <w:r>
        <w:t>12 See the decision of the Autorité de la concurrence 10-DCC-42 mentioned above and the decision of the European Commission M. 5721 mentioned above.</w:t>
      </w:r>
    </w:p>
    <w:p>
      <w:r>
        <w:t>III. Competitive Analysis</w:t>
      </w:r>
    </w:p>
    <w:p>
      <w:r>
        <w:t>A. DOWNSTREAM MARKETS FOR RETAIL DISTRIBUTION OF FURNITURE PRODUCTS AND BAZAAR AND DECORATION PRODUCTS</w:t>
      </w:r>
    </w:p>
    <w:p>
      <w:r>
        <w:t>20. In the French market for distance selling of furniture products, Cafom holds a market share of [0-5]% and Habitat holds a market share of [0-5]%, resulting in a combined share of [0-5]% for the new entity. It will face competition from traditional mail-order companies (such as La Redoute or the 3 Suisses), significant distributors of furniture products that have online sales sites (such as Ikéa, Alinéa, But Conforama, Atlas), as well as online sales websites for furniture products such as La Maison de Valérie, Miliboo, or Myfab.com.</w:t>
      </w:r>
    </w:p>
    <w:p>
      <w:r>
        <w:t>21. In the market for distance selling of bazaar and decoration products, Cafom holds a market share of [0-5]% and Habitat holds a market share of [0-5]%, resulting in a combined market share of [0-5]% following the operation.</w:t>
      </w:r>
    </w:p>
    <w:p>
      <w:r>
        <w:t>22. Consequently, the proposed operation is not likely to affect competition in the markets for distance selling of furniture and bazaar and decoration products.</w:t>
      </w:r>
    </w:p>
    <w:p>
      <w:r>
        <w:t>B. UPSTREAM MARKET FOR THE SUPPLY OF FURNITURE PRODUCTS AND BAZAAR AND DECORATION PRODUCTS</w:t>
      </w:r>
    </w:p>
    <w:p>
      <w:r>
        <w:t>23. In the markets for the supply of furniture products, on one hand, and decoration and bazaar products, on the other hand, the combined supplies of the parties represent less than [0-5]% of supplies in the French market for furniture products and less than [0-5]% of supplies in the French market for bazaar and decoration products. They also represent a negligible share of supplies in a European market.</w:t>
      </w:r>
    </w:p>
    <w:p>
      <w:r>
        <w:t>24. The operation is therefore not likely to harm competition in the upstream markets for the supply of furniture and bazaar and decoration products.</w:t>
      </w:r>
    </w:p>
    <w:p>
      <w:r>
        <w:t>DECIDES</w:t>
      </w:r>
    </w:p>
    <w:p>
      <w:r>
        <w:t>Sole Article: The operation notified under number 11-0134 is authorized.</w:t>
      </w:r>
    </w:p>
    <w:p>
      <w:r>
        <w:t>The President,</w:t>
        <w:br/>
        <w:t>Bruno Lasserre</w:t>
        <w:br/>
        <w:t>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