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https://www.autoritedelaconcurrence.fr/fr/decision-de-controle-des-concentrations/relative-la-prise-de-controle-exclusif-des-societes-hedis</w:t>
      </w:r>
    </w:p>
    <w:p>
      <w:r>
        <w:t>Pages translated : 15</w:t>
      </w:r>
    </w:p>
    <w:p/>
    <w:p>
      <w:r>
        <w:rPr>
          <w:b/>
        </w:rPr>
        <w:t>[Pages 1–3]</w:t>
      </w:r>
    </w:p>
    <w:p>
      <w:r>
        <w:t xml:space="preserve">FRENCH REPUBLIC  </w:t>
        <w:br/>
        <w:t xml:space="preserve">Decision No. 17-DCC-194 of November 22, 2017  </w:t>
        <w:br/>
        <w:t xml:space="preserve">regarding the exclusive control of the companies Hedis, Comptoir de Bretagne, and Générale Collectivités by the Bunzl group  </w:t>
        <w:br/>
        <w:t xml:space="preserve">The Competition Authority,  </w:t>
        <w:br/>
        <w:t xml:space="preserve">Having regard to the notification file submitted in full to the mergers department on October 17, 2017, regarding the exclusive control of the companies Hedis, Comptoir de Bretagne, and Générale Collectivités by the Bunzl group;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Bunzl Holdings France SAS is a company at the head of the Bunzl group in France (hereinafter "Bunzl"), ultimately controlled by the British company Bunzl Public Limited Company. The Bunzl group is active worldwide in the distribution of non-food products, including food packaging, hygiene and maintenance products, and personal protective equipment. Bunzl is primarily active in France in the sector of the distribution of hygiene and maintenance products for professional use. Bunzl carries out this activity through the company Pierre Le Goff (hereinafter "PLG"), which it acquired in 2004. It is also active in France in the sectors of the distribution of safety products (through the companies France Sécurité, Ligne T., Prorisk, and GM Equipement) and disposable tableware products (through the company Comatec).  </w:t>
        <w:br/>
        <w:t xml:space="preserve">2. The company Hedis is a subsidiary wholly controlled by the holding company Hed Développement, active exclusively in France in the sector of the distribution of hygiene and maintenance products for professional use. The company Hedis operates through 12 subsidiaries spread across the entire French territory.  </w:t>
        <w:br/>
        <w:t xml:space="preserve">3. The companies Comptoir de Bretagne and Générale Collectivités are subsidiaries wholly controlled by the holding company Aveland, primarily active in the sector of the distribution of hotel supplies. These two companies are exclusively active in France.  </w:t>
        <w:br/>
        <w:t xml:space="preserve">4. The companies Hed Développement and Aveland are both controlled by the Andrevon family.  </w:t>
        <w:br/>
        <w:t xml:space="preserve">5. The contemplated operation consists of Bunzl acquiring all of the capital and voting rights of the companies Hedis, Comptoir de Bretagne, and Générale Collectivités (hereinafter collectively referred to as "target companies"), as part of a single and indivisible operation1.  </w:t>
        <w:br/>
        <w:t xml:space="preserve">6. Insofar as it results in the exclusive control of the target companies by Bunzl, the notified operation constitutes a concentration within the meaning of Article L. 430-1 of the Commercial Code. It also constitutes a unique concentration within the meaning of recital 20 of Council Regulation (EC) No. 139/2004 of January 20, 2004, on the control of concentrations between undertakings.  </w:t>
        <w:br/>
        <w:t xml:space="preserve">7. The concerned companies together achieve a total worldwide turnover excluding taxes of more than 150 million euros (Bunzl: […] euros for the fiscal year ending December 31, 2016; target companies: […] euros for the same fiscal year). Each of them achieved, in France, a turnover exceeding 50 million euros (Bunzl: […] euros for the fiscal year ending December 31, 2016; target companies: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8. The parties are simultaneously present in the upstream markets for the supply of hygiene and maintenance products for professional use as customers (A), and in the downstream markets for the distribution of hygiene and maintenance products for professional use (B), and for the distribution of hotel supplies (C).  </w:t>
        <w:br/>
        <w:t xml:space="preserve">A. UPSTREAM MARKETS FOR THE SUPPLY OF HYGIENE AND MAINTENANCE PRODUCTS FOR PROFESSIONAL USE  </w:t>
        <w:br/>
        <w:t xml:space="preserve">1. PRODUCT MARKETS  </w:t>
        <w:br/>
        <w:t xml:space="preserve">9. The upstream markets for the supply of hygiene and maintenance products for professional use have been segmented according to the main use of the products, insofar as producers, who manufacture certain hygiene and maintenance products, are not able to easily convert to the manufacture of other products.  </w:t>
        <w:br/>
        <w:t xml:space="preserve">1 [Confidential].  </w:t>
        <w:br/>
        <w:t xml:space="preserve">2  </w:t>
        <w:br/>
        <w:t xml:space="preserve">10. Thus, the decision-making practice of the Authority identifies as many markets as there are product families2.  </w:t>
        <w:br/>
        <w:t xml:space="preserve">11. The major product families distributed are products intended for wiping (industrial wiping, hand towels, napkins, tissues, etc.), cleaning products (maintenance products, soap, disinfectants, etc.), protective products (gloves, gowns, clothing protection, examination sheets), and products intended for waste collection (plastic or paper bags, bins, etc.).  </w:t>
        <w:br/>
        <w:t xml:space="preserve">12. The question of the exact delineation of the markets for the supply of hygiene and maintenance products for professional use can, however, be left open, insofar as the conclusions of the competitive analysis remain unchanged, regardless of the definition adopted.  </w:t>
        <w:br/>
        <w:t xml:space="preserve">2. GEOGRAPHICAL MARKETS  </w:t>
        <w:br/>
        <w:t xml:space="preserve">13. National decision-making practice considers that the markets for the supply of hygiene and maintenance products for professional use are at least national in scope, if not European3.  </w:t>
        <w:br/>
        <w:t xml:space="preserve">14. The question of the geographical delimitation of these markets can, however, be left open, insofar as the conclusions of the competitive analysis remain unchanged, regardless of the delimitation adopted.  </w:t>
        <w:br/>
        <w:t xml:space="preserve">B. DOWNSTREAM MARKETS FOR THE DISTRIBUTION OF HYGIENE AND MAINTENANCE PRODUCTS FOR PROFESSIONAL USE  </w:t>
        <w:br/>
        <w:t xml:space="preserve">1. PRODUCT MARKETS  </w:t>
        <w:br/>
        <w:t xml:space="preserve">15. The downstream markets for the distribution of hygiene and maintenance products have been segmented according to the type of clientele purchasing them (professionals, individuals), with the markets for professional clients being further segmented according to their sector of activity.  </w:t>
        <w:br/>
        <w:t xml:space="preserve">16. National decision-making practice has thus identified a market for the distribution of hygiene and maintenance products for professional use, insofar as the needs of this type of clientele (hospitals, clinics, hotels and restaurants, businesses, schools, administrations, etc.) differ from the demand of individuals, both in terms of the quantity of products purchased and in terms of quality4.  </w:t>
        <w:br/>
        <w:t xml:space="preserve">17. Hygiene and maintenance products for professional use are offered by producers, through direct sales or through their own distribution networks, and by independent distributors.  </w:t>
        <w:br/>
        <w:t xml:space="preserve">2 See the decisions of the Competition Authority No. 12-DCC-64 of May 11, 2012, regarding the acquisition of the company Argos Hygiène by the company Orapi SA, No. 14-DCC-200 of December 30, 2014, regarding the acquisition of the company Hygedis by the company Orapi SA, No. 17-DCC-12 of January 31, 2017, regarding the exclusive control of the Anios group by the Ecolab group, and No. 17-DCC-114 of July 18, 2017, regarding the exclusive control of the company BTMF by the National Mutual of Hospital Workers.  </w:t>
        <w:br/>
        <w:t xml:space="preserve">3 See in particular the decisions No. 17-DCC-12 and No. 17-DCC-114 mentioned above.  </w:t>
        <w:br/>
        <w:t xml:space="preserve">4 See in particular the letter from the Minister of Economy dated May 23, 2003, to the board of the company Groupe Paredes regarding a concentration in the sector of the distribution of hygiene products and the decisions No. 12-DCC-64 and No. 14-DCC-200 mentioned above.  </w:t>
        <w:br/>
        <w:t>3</w:t>
      </w:r>
    </w:p>
    <w:p>
      <w:r>
        <w:rPr>
          <w:b/>
        </w:rPr>
        <w:t>[Pages 4–6]</w:t>
      </w:r>
    </w:p>
    <w:p>
      <w:r>
        <w:t>18. The notifying party considers that, due to the offering of the new entity (including all types of hygiene and maintenance products for professional use) and its extensive customer portfolio (public authorities, cleaning companies, industrials, etc.), the relevant market in which the effects of the present operation should be studied is the overall market for the distribution of hygiene and maintenance products for professional use.</w:t>
      </w:r>
    </w:p>
    <w:p>
      <w:r>
        <w:t>19. Nevertheless, within this market, European5 and national6 decision-making practices have distinguished the market for the distribution of hygiene and maintenance products intended for institutional professionals (hospitality, catering, hospitals and clinics, and educational institutions) from that for the distribution of hygiene and maintenance products intended for industrial professionals (mainly, the agri-food industry and industrial laundries).</w:t>
      </w:r>
    </w:p>
    <w:p>
      <w:r>
        <w:t>a) The market for the distribution of hygiene and maintenance products intended for institutional professionals</w:t>
      </w:r>
    </w:p>
    <w:p>
      <w:r>
        <w:t>20. Within the market for the distribution of hygiene and maintenance products intended for institutional professionals, the European Commission has considered the following three segments7:</w:t>
        <w:br/>
        <w:t>i) kitchen hygiene;</w:t>
        <w:br/>
        <w:t>ii) establishment laundries;</w:t>
        <w:br/>
        <w:t>iii) household maintenance.</w:t>
      </w:r>
    </w:p>
    <w:p>
      <w:r>
        <w:t>21. The competition authorities have also considered the existence of a distinct segment related to health hygiene8.</w:t>
      </w:r>
    </w:p>
    <w:p>
      <w:r>
        <w:t>22. The question of the exact delimitation of the markets for the distribution of hygiene and maintenance products intended for institutional professionals can, however, be left open, insofar as the conclusions of the competitive analysis remain unchanged, regardless of the segmentation adopted.</w:t>
      </w:r>
    </w:p>
    <w:p>
      <w:r>
        <w:t>b) The market for the distribution of hygiene and maintenance products intended for industrial professionals</w:t>
      </w:r>
    </w:p>
    <w:p>
      <w:r>
        <w:t>23. The European Commission has segmented the market for the distribution of hygiene and maintenance products intended for industrial professionals by distinguishing the agri-food industry and industrial laundries9. The Authority has also considered the existence of two additional segments: the cosmetic and pharmaceutical industries and the agricultural industry10.</w:t>
      </w:r>
    </w:p>
    <w:p>
      <w:r>
        <w:t>24. Furthermore, the question of the existence of a distinct market for textile hygiene, which would include establishment laundries and industrial laundries, has been examined by the competition authorities11.</w:t>
      </w:r>
    </w:p>
    <w:p>
      <w:r>
        <w:t>25. Finally, the Competition Council had the opportunity to define a market for industrial detergents intended for high-capacity facilities that would include only hospitals12. The Council thus excluded the hotel-restaurant sector on the grounds that "the purpose of industrial laundry in hospitals is different from that of hotels-restaurants, both in terms of the type of linen to be cleaned (flat linen, the gowns and tunics of caregivers) and the types of soiling to be removed (blood). The technical cleaning solutions are not the same in healthcare establishments and in hotels-restaurants." The Council also excluded the sector of nursing homes and hospices, notably because "the laundry cleaning needs in these establishments are comparable to those of hotels-restaurants, primarily aimed at ensuring the maintenance of linen, whereas hygiene is the main objective of hospitals."</w:t>
      </w:r>
    </w:p>
    <w:p>
      <w:r>
        <w:t>26. The question of the exact delimitation of the markets for the distribution of hygiene and maintenance products intended for industrial professionals can, however, be left open, insofar as the conclusions of the competitive analysis remain unchanged, regardless of the segmentation adopted.</w:t>
      </w:r>
    </w:p>
    <w:p>
      <w:r>
        <w:t>2. GEOGRAPHICAL MARKETS</w:t>
      </w:r>
    </w:p>
    <w:p>
      <w:r>
        <w:t>27. The Authority has considered the possibility of isolating a specific segment of the national market for the distribution of hygiene and maintenance products for professional use specific to the Île-de-France region, particularly due to the particularly significant concentration of demand (offices, hospitality and catering businesses, co-ownerships, etc.) and suppliers in this region13.</w:t>
      </w:r>
    </w:p>
    <w:p>
      <w:r>
        <w:t>28. In a recent decision Ecolab / Anios, it nevertheless retained a national dimension for the market for the distribution of hygiene and maintenance products for professional use14. In this decision, the notifying party estimated that the market for the distribution of hygiene and maintenance products for professional use was national in scope, with the exception of the segment for cosmetic and pharmaceutical industries, which would have been of European dimension. The market test conducted for the purposes of examining the Ecolab / Anios operation confirmed the national dimension of the market and refuted both the hypothesis of a European dimension for the segment of cosmetic and pharmaceutical industries and the specificity of the Île-de-France region, previously considered by decision-making practice.</w:t>
      </w:r>
    </w:p>
    <w:p>
      <w:r>
        <w:t>29. The European Commission, for its part, has retained a national dimension for the markets for the distribution of hygiene and maintenance products to professionals, both institutional and industrial15. However, it noted a trend towards Europeanization, even globalization of these markets.</w:t>
      </w:r>
    </w:p>
    <w:p>
      <w:r>
        <w:t>30. In the present case, the notifying party considers that a national delimitation of the market for the distribution of hygiene and maintenance products for professional use and the markets for the distribution of hygiene and maintenance products intended for institutional and industrial professionals should be retained.</w:t>
      </w:r>
    </w:p>
    <w:p>
      <w:r>
        <w:t>31. During the investigation, several third parties to the operation spontaneously submitted observations to the mergers department in support of a regional market delineation. These third parties highlighted (i) the importance of transport costs, (ii) the commercial and logistical structuring of distributors, and (iii) the legal structuring of distributors to justify the examination of the effects of the present operation at a regional level.</w:t>
      </w:r>
    </w:p>
    <w:p>
      <w:r>
        <w:t>32. The Authority considers that the arguments put forward by these third parties to challenge its decision-making practice are insufficient in light of the characteristics of the markets in question.</w:t>
      </w:r>
    </w:p>
    <w:p>
      <w:r>
        <w:t>33. Firstly, the argument regarding transport costs must be nuanced. Firstly, the main competitors of the parties have a logistics network as dense as that of the parties and all claim the capacity to operate deliveries throughout the national territory. Furthermore, it was noted during the investigation that distributors operating in self-service ("cash &amp; carry") display uniform rates across the territory (available online) and can offer free delivery services throughout the territory16 and a network of drop-off points covering the national territory, which tends to show that transport costs are not likely to reduce the size of the market.</w:t>
      </w:r>
    </w:p>
    <w:p>
      <w:r>
        <w:t>34. Secondly, while many distributors are indeed logistically structured at a "regional" level (encompassing several administrative regions and whose scope varies from one distributor to another), the elements presented by the third parties and collected during the investigation nevertheless tend to show that the main competitors of the parties are present throughout the national territory and have an established logistics organization allowing them to meet demand across the entire territory.</w:t>
      </w:r>
    </w:p>
    <w:p>
      <w:r>
        <w:t>35. Thirdly, regarding the legal organization of distributors, it does not seem, in this case, to be a relevant criterion for regionally delimiting the market. Indeed, the location of the various functions of a company is not, by itself, likely to limit its ability to operate in a market.</w:t>
      </w:r>
    </w:p>
    <w:p>
      <w:r>
        <w:t>36. In its guidelines on the control of concentrations, the Competition Authority recalls, in point 337, that: "The delimitation of a market for products or services also includes the identification of the geographical area in which a company that would be in monopoly could exercise its market power without being exposed to significant competition from other companies located in other geographical areas. Just as for products and services, the identification of this geographical area is based on the reasoning used in the hypothetical monopolist test: when, in a given geographical area, a hypothetical monopolist would see its profits decrease if it raised its prices due to the importance of demand shifts to neighboring geographical areas, then it is appropriate to broaden the relevant market to include these other geographical areas."</w:t>
      </w:r>
    </w:p>
    <w:p>
      <w:r>
        <w:t>37. It also indicates, in point 357 of the same guidelines that: "As with the definition of product markets, the analytical framework applicable to the geographical delimitation of markets is that of the hypothetical monopolist test, which aims to assess the competitive pressure exerted by suppliers located in more or less distant geographical areas. It is within this conceptual framework that the Authority analyzes the various qualitative or quantitative elements likely to indicate the propensity of customers to turn to suppliers located in other geographical areas."</w:t>
      </w:r>
    </w:p>
    <w:p>
      <w:r>
        <w:rPr>
          <w:b/>
        </w:rPr>
        <w:t>[Pages 7–9]</w:t>
      </w:r>
    </w:p>
    <w:p>
      <w:r>
        <w:t>38. Furthermore, one of the third parties that provided observations to the investigation services states that "no legal, regulatory, or normative constraint limits the market to a region, that the main distributors are of national scope and able to meet the demand of any customer, and that their strategy is global and national."</w:t>
      </w:r>
    </w:p>
    <w:p>
      <w:r>
        <w:t>39. Finally, the studies conducted by the MSI firm17 (hereinafter "MSI studies") on the sector of hygiene and maintenance products for professional use confirm the elements put forward by the notifying party to demonstrate the national dimension of the market. It was notably noted that there is an absence of sub-national specificity on the demand side. Furthermore, commercial negotiations are generally conducted at the national level (not only for the largest customers but also for customers grouped in purchasing centers). In addition, through distributors operating in self-service ("cash &amp; carry"), even smaller players have access to a uniform pricing offer across the entire territory (without additional delivery costs, cf. supra). The notifying party also indicated that no price discrepancies were observed at the sub-national level.</w:t>
      </w:r>
    </w:p>
    <w:p>
      <w:r>
        <w:t>40. These elements tend to demonstrate that the determination of the market price therefore occurs at the national level and not at a sub-national level.</w:t>
      </w:r>
    </w:p>
    <w:p>
      <w:r>
        <w:t>41. Moreover, in the absence of local specificity of needs and regulatory barriers at the regional level, and due to the non-perishable nature and homogeneity of the products considered, in the event of a significant and sustained increase in prices in a given local area, the new entity would also likely face competition from operators established in adjacent geographical areas capable of serving a demand shift.</w:t>
      </w:r>
    </w:p>
    <w:p>
      <w:r>
        <w:t>42. In light of all the preceding elements, the regional dimension of the markets for the distribution of hygiene and maintenance products for professional use can be dismissed. In this case, a national dimension of the markets for the distribution of hygiene and maintenance products for professional use will therefore be retained.</w:t>
      </w:r>
    </w:p>
    <w:p>
      <w:r>
        <w:t>C. THE SECTOR OF HOTEL SUPPLIES DISTRIBUTION</w:t>
      </w:r>
    </w:p>
    <w:p>
      <w:r>
        <w:t>43. In the sector of hotel supplies distribution, the parties are active in the wholesale distribution markets of tableware products (1) and in the markets for the distribution of food packaging (2).</w:t>
      </w:r>
    </w:p>
    <w:p>
      <w:r>
        <w:t>1. THE MARKETS FOR TABLEWARE PRODUCTS</w:t>
      </w:r>
    </w:p>
    <w:p>
      <w:r>
        <w:t>a) The upstream market for the supply of tableware products</w:t>
      </w:r>
    </w:p>
    <w:p>
      <w:r>
        <w:t>44. Regarding the supply of tableware products, the decision-making practice has considered a segmentation covering each of the relevant product families (cutlery, glassware, cooking utensils, dishes, etc.), notably on the grounds that there are specialized suppliers for each product family18.</w:t>
      </w:r>
    </w:p>
    <w:p>
      <w:r>
        <w:t>45. Regarding their geographical delimitation, the Authority considers that the markets for the supply of tableware products are at least national in scope, if not European19.</w:t>
      </w:r>
    </w:p>
    <w:p>
      <w:r>
        <w:t>46. The question of the exact delimitation of the upstream market for the supply of tableware products can, however, be left open, insofar as the conclusions of the competitive analysis remain unchanged, regardless of the delimitation adopted.</w:t>
      </w:r>
    </w:p>
    <w:p>
      <w:r>
        <w:t>b) The downstream market for the wholesale distribution of tableware products</w:t>
      </w:r>
    </w:p>
    <w:p>
      <w:r>
        <w:t>47. National decision-making practice retains a wholesale market for tableware products and has considered a segmentation of this market according to product categories, notably distinguishing the following products: (i) glassware; (ii) dishes; (iii) cutlery; (iv) cooking utensils20.</w:t>
      </w:r>
    </w:p>
    <w:p>
      <w:r>
        <w:t>48. Furthermore, the decision-making practice regarding tableware products identifies three main distribution channels21, depending on whether the products are intended for:</w:t>
        <w:br/>
        <w:t>- retailers, which include sales to large and medium-sized stores ("GMS"), department stores, large specialized stores, specialty shops, traditional stores, or discount stores;</w:t>
        <w:br/>
        <w:t>- "HoReCo" channels, encompassing hotels, restaurants, and collective catering; and</w:t>
        <w:br/>
        <w:t>- "BtoB" channels (for "business to business"), in cases where a company approaches a manufacturer or wholesaler to procure items for professional use not intended for resale, such as promotional items or loyalty programs.</w:t>
      </w:r>
    </w:p>
    <w:p>
      <w:r>
        <w:t>49. The Authority considers that the wholesale markets for tableware products are of national dimension22.</w:t>
      </w:r>
    </w:p>
    <w:p>
      <w:r>
        <w:t>50. In this case, the parties' activities only overlap on a potential segment corresponding to the distribution of single-use tableware products.</w:t>
      </w:r>
    </w:p>
    <w:p>
      <w:r>
        <w:t>51. The question of the exact delimitation of the wholesale distribution market for tableware products can, however, be left open, insofar as the conclusions of the competitive analysis remain unchanged, regardless of the delimitation adopted.</w:t>
      </w:r>
    </w:p>
    <w:p>
      <w:r>
        <w:t>2. FOOD PACKAGING</w:t>
      </w:r>
    </w:p>
    <w:p>
      <w:r>
        <w:t>a) The upstream market for the supply of food packaging</w:t>
      </w:r>
    </w:p>
    <w:p>
      <w:r>
        <w:t>52. In terms of supply, national decision-making practice adopts a segmentation based on product families identical to that used in the downstream market for the distribution of food packaging (see below)23.</w:t>
      </w:r>
    </w:p>
    <w:p>
      <w:r>
        <w:t>53. Regarding their geographical delimitation, the Authority considers that the markets for the supply of household packaging are at least national in scope, if not European24.</w:t>
      </w:r>
    </w:p>
    <w:p>
      <w:r>
        <w:t>54. In this case, the question of the exact delimitation of the upstream market for the supply of food packaging can be left open, insofar as, regardless of the segmentation adopted, the conclusions of the competitive analysis remain unchanged.</w:t>
      </w:r>
    </w:p>
    <w:p>
      <w:r>
        <w:t>b) The downstream market for the distribution of food packaging</w:t>
      </w:r>
    </w:p>
    <w:p>
      <w:r>
        <w:t>55. National decision-making practice tends to segment the market for the distribution of food packaging by product families25.</w:t>
      </w:r>
    </w:p>
    <w:p>
      <w:r>
        <w:t>56. The Authority has thus defined the following specific product families: (i) films and palletizing and identification accessories, (ii) adhesives and strapping, (iii) cushioning and protection, (iv) industrial packaging, (v) packaging products for retail food (including trays and boxes, as well as food films and papers), (vi) packaging products for shops and boutiques (including bags and pouches), (vii) handling and storage, (viii) cleaning and hygiene products (including waste bags), and (ix) office supplies. Within each of these product families, additional product segmentations have been considered, notably for food films and pouches, baking paper, and waste bags26.</w:t>
      </w:r>
    </w:p>
    <w:p>
      <w:r>
        <w:t>57. The Authority has also considered a segmentation between wholesale distribution to professionals and retail distribution for resale to individuals for food products and certain paper products27.</w:t>
      </w:r>
    </w:p>
    <w:p>
      <w:r>
        <w:t>58. An additional segmentation related to the type of professional clientele (public or private) has also been considered to take into account the specificity of public sector tenders28.</w:t>
      </w:r>
    </w:p>
    <w:p>
      <w:r>
        <w:t>59. Regarding the geographical definition of the market, the Authority has retained a national delimitation, notably considering the notable differences existing at the level of catalog design (languages and presentation), consumer habits, as well as the organization of the distribution system29.</w:t>
      </w:r>
    </w:p>
    <w:p>
      <w:r>
        <w:rPr>
          <w:b/>
        </w:rPr>
        <w:t>[Pages 10–12]</w:t>
      </w:r>
    </w:p>
    <w:p>
      <w:r>
        <w:t>60. The activities of the parties overlap only on a potential segment corresponding to the wholesale distribution of food packaging intended for professionals; the question of the exact delineation of the wholesale market for tableware products can be left open, insofar as the conclusions of the competitive analysis remain unchanged, regardless of the delineation adopted.</w:t>
      </w:r>
    </w:p>
    <w:p>
      <w:r>
        <w:t>III. Competitive Analysis</w:t>
        <w:br/>
        <w:t>61. The operation leads to overlaps in activity in the upstream market for the supply of hygiene and maintenance products for professional use (A), as well as in the downstream markets for the distribution of hygiene and maintenance products intended for institutional and industrial professionals (B). Furthermore, the operation leads to overlaps in the markets for the distribution of hotel supplies (C).</w:t>
      </w:r>
    </w:p>
    <w:p>
      <w:r>
        <w:t>A. ON THE UPSTREAM MARKET FOR THE SUPPLY OF HYGIENE AND MAINTENANCE PRODUCTS FOR PROFESSIONAL USE</w:t>
        <w:br/>
        <w:t>62. In the absence of public data on this point, the notifying party was unable to provide an estimate of the market shares of the new entity in the upstream market for the supply of hygiene and maintenance products for professional use.</w:t>
        <w:br/>
        <w:t>63. Nevertheless, it considers that the market share of the new entity in the upstream market for the supply of hygiene and maintenance products for professional use is necessarily lower than the market share it will hold in the downstream market for the distribution of hygiene and maintenance products for professional use.</w:t>
        <w:br/>
        <w:t>64. The notifying party therefore estimates that it will hold a market share of less than 25% in the upstream market for the supply of hygiene and maintenance products for professional use, regardless of the product family considered. Furthermore, it notes that the market for the manufacture of hygiene and maintenance products for professional use has been marked by a recent consolidation movement that has strengthened the bargaining power of manufacturers30.</w:t>
        <w:br/>
        <w:t>65. In addition, some manufacturers are active directly in the distribution market and are able to distribute their products without going through distributors. This is therefore likely to limit the bargaining power of distributors31.</w:t>
        <w:br/>
        <w:t>66. Given these elements, the operation is not likely to harm competition through horizontal effects in the upstream market for the supply of hygiene and maintenance products for professional use.</w:t>
      </w:r>
    </w:p>
    <w:p>
      <w:r>
        <w:t>30 See the MSI studies and decisions n° 17-DCC-12 and n° 17-DCC-114 cited above.</w:t>
        <w:br/>
        <w:t>31 See the MSI studies and decision n° 17-DCC-12 cited above.</w:t>
      </w:r>
    </w:p>
    <w:p>
      <w:r>
        <w:t>B. ON THE DOWNSTREAM MARKET FOR THE DISTRIBUTION OF HYGIENE AND MAINTENANCE PRODUCTS FOR PROFESSIONAL USE</w:t>
        <w:br/>
        <w:t>67. The notifying party provided estimates of the size of the national market for the distribution of hygiene and maintenance products for professional use based on MSI studies. On this basis, it estimates the total value of the market for the distribution of hygiene and maintenance products for professional use to be approximately 3 billion euros. This market size includes all distribution channels (specialized distributors, member groups, independent distributors, direct sales from manufacturers, mail order, self-service - "cash &amp; carry"). It is also consistent with the size of this market previously retained by the Authority32.</w:t>
        <w:br/>
        <w:t>68. According to the estimates provided by the notifying party, the new entity would thus hold a market share of [10-20]% in the national market for the distribution of hygiene and maintenance products for professional use. According to these same estimates33, it would face competition from several distributors, notably Orapi – a vertically integrated distributor – ([5-10]%) and Paredes ([5-10]%). It would also face competition from manufacturers of hygiene and maintenance products for professional use, who are active in the market for the distribution of hygiene and maintenance products for professional use (Ecolab/Anios, Diversey, etc.).</w:t>
        <w:br/>
        <w:t>69. Given these elements, the operation is not likely to harm competition through horizontal effects in the market for the distribution of hygiene and maintenance products for professional use.</w:t>
      </w:r>
    </w:p>
    <w:p>
      <w:r>
        <w:t>1. ON THE MARKET FOR THE DISTRIBUTION OF HYGIENE AND MAINTENANCE PRODUCTS INTENDED FOR INSTITUTIONAL PROFESSIONALS</w:t>
        <w:br/>
        <w:t>70. The operation leads to overlaps in activity across all segments of the market for the distribution of hygiene and maintenance products intended for institutional professionals.</w:t>
        <w:br/>
        <w:t>71. According to the estimates provided by the notifying party, the new entity would hold a market share of [10-20]% in the market for the distribution of hygiene and maintenance products intended for institutional professionals. It would face competition from several distributors, notably Orapi ([5-10]%) and Paredes ([5-10]%).</w:t>
        <w:br/>
        <w:t>72. Given these elements, the operation is not likely to harm competition through horizontal effects in the market for the distribution of hygiene and maintenance products intended for institutional professionals.</w:t>
      </w:r>
    </w:p>
    <w:p>
      <w:r>
        <w:t>32 See decision n° 12-DCC-64 cited above.</w:t>
        <w:br/>
        <w:t>33 The notifying party was unable to accurately estimate the turnover, and consequently the market shares, of its main competitors. It therefore made estimates presented in the form of ranges.</w:t>
      </w:r>
    </w:p>
    <w:p>
      <w:r>
        <w:t>a) On the kitchen hygiene segment</w:t>
        <w:br/>
        <w:t>73. According to the estimates provided by the notifying party, the new entity would hold a market share of [10-20]% in the kitchen hygiene segment. It would face competition from several distributors, notably Orapi ([5-10]%) and Paredes ([5-10]%). It would also face competition from manufacturers of hygiene and maintenance products for professional use active in this market segment, such as Ecolab/Anios ([5-10]%).</w:t>
        <w:br/>
        <w:t>74. Given these elements, the operation is not likely to harm competition through horizontal effects in the kitchen hygiene segment.</w:t>
      </w:r>
    </w:p>
    <w:p>
      <w:r>
        <w:t>b) On the establishment laundry segment</w:t>
        <w:br/>
        <w:t>75. According to the estimates provided by the notifying party, the new entity would hold a market share of [10-20]% in the establishment laundry segment. It would face competition from Orapi ([5-10]%), but also from several manufacturers of hygiene and maintenance products for professional use active in this market segment, such as Ecolab/Anios ([5-10]%) and Christeyns ([5-10]%).</w:t>
        <w:br/>
        <w:t>76. Given these elements, the operation is not likely to harm competition through horizontal effects in the establishment laundry segment.</w:t>
      </w:r>
    </w:p>
    <w:p>
      <w:r>
        <w:t>c) On the household cleaning segment</w:t>
        <w:br/>
        <w:t>77. According to the estimates provided by the notifying party, the new entity would hold a market share of [10-20]% in the household cleaning segment. It would face competition from several distributors, notably Orapi ([5-10]%) and Paredes ([5-10]%). It would also face competition from manufacturers of hygiene and maintenance products for professional use active in this market segment, such as SPhere ([5-10]%).</w:t>
        <w:br/>
        <w:t>78. Given these elements, the operation is not likely to harm competition through horizontal effects in the household cleaning segment.</w:t>
      </w:r>
    </w:p>
    <w:p>
      <w:r>
        <w:t>d) On the health hygiene segment</w:t>
        <w:br/>
        <w:t>79. According to the estimates provided by the notifying party, the new entity would hold a market share of [10-20]% in the health segment. It would face competition from several distributors, notably Orapi ([5-10]%) and Paredes ([5-10]%). It would also face competition from manufacturers of hygiene and maintenance products for professional use active in this market segment, such as Ecolab/Anios ([40-50]%) and Diversey ([5-10]%).</w:t>
        <w:br/>
        <w:t>80. Given these elements, the operation is not likely to harm competition through horizontal effects in the health segment.</w:t>
      </w:r>
    </w:p>
    <w:p>
      <w:r>
        <w:t>2. ON THE MARKET FOR THE DISTRIBUTION OF HYGIENE AND MAINTENANCE PRODUCTS INTENDED FOR INDUSTRIAL PROFESSIONALS</w:t>
        <w:br/>
        <w:t>81. The operation leads to overlaps in activity across all segments of the market for the distribution of hygiene and maintenance products intended for industrial professionals, except for the segment of the cosmetic and pharmaceutical industry in which the target companies are not active.</w:t>
      </w:r>
    </w:p>
    <w:p>
      <w:r>
        <w:rPr>
          <w:b/>
        </w:rPr>
        <w:t>[Pages 13–15]</w:t>
      </w:r>
    </w:p>
    <w:p>
      <w:r>
        <w:t>82. According to the estimates provided by the notifying party, the new entity would hold a market share of [5-10] % in the market for the distribution of hygiene and maintenance products intended for industrial professionals. It would face competition from manufacturers of hygiene and maintenance products for professional use active as distributors in this market such as Ecolab/Anios ([30-40] %). It would also face competition from several distributors, notably Orapi ([5-10] %) and Paredes ([5-10] %).</w:t>
      </w:r>
    </w:p>
    <w:p>
      <w:r>
        <w:t>83. Given these elements, the operation is not likely to harm competition through horizontal effects in the market for the distribution of hygiene and maintenance products intended for industrial professionals.</w:t>
      </w:r>
    </w:p>
    <w:p>
      <w:r>
        <w:t>a) In the agri-food industry segment</w:t>
      </w:r>
    </w:p>
    <w:p>
      <w:r>
        <w:t>84. According to the estimates provided by the notifying party, the new entity would hold a market share of [10-20] % in the agri-food industry segment. It would face competition from manufacturers of hygiene and maintenance products for professional use active in this market segment such as Ecolab/Anios ([20-30] %), but also from several distributors, notably Orapi ([5-10] %) and Paredes ([5-10] %).</w:t>
      </w:r>
    </w:p>
    <w:p>
      <w:r>
        <w:t>85. Given these elements, the operation is not likely to harm competition through horizontal effects in the agri-food industry segment.</w:t>
      </w:r>
    </w:p>
    <w:p>
      <w:r>
        <w:t>b) In the industrial laundries segment</w:t>
      </w:r>
    </w:p>
    <w:p>
      <w:r>
        <w:t>86. According to the estimates provided by the notifying party, the new entity would hold a market share of [5-10] % in the industrial laundries segment. It would face competition from manufacturers of hygiene and maintenance products for professional use active in this market segment such as Ecolab/Anios ([30-40] %) and Christeyns ([10-20] %), but also from other distributors, notably Orapi ([10-20] %).</w:t>
      </w:r>
    </w:p>
    <w:p>
      <w:r>
        <w:t>87. Given these elements, the operation is not likely to harm competition through horizontal effects in the industrial laundries segment.</w:t>
      </w:r>
    </w:p>
    <w:p>
      <w:r>
        <w:t>c) In the agricultural industry segment</w:t>
      </w:r>
    </w:p>
    <w:p>
      <w:r>
        <w:t>88. According to the estimates provided by the notifying party, the new entity would hold a market share of [5-10] % in the agricultural industry segment. It would face competition from manufacturers of hygiene and maintenance products for professional use active in this market segment such as Hypred ([30-40] %) and Ecolab/Anios ([20-30] %), but also from other distributors, notably Orapi ([5-10] %) and Paredes ([5-10] %).</w:t>
      </w:r>
    </w:p>
    <w:p>
      <w:r>
        <w:t>89. Given these elements, the operation is not likely to harm competition through horizontal effects in the agricultural industry segment.</w:t>
      </w:r>
    </w:p>
    <w:p>
      <w:r>
        <w:t>C. ON THE MARKETS FOR THE DISTRIBUTION OF HOTEL SUPPLIES</w:t>
      </w:r>
    </w:p>
    <w:p>
      <w:r>
        <w:t>90. In this sector, the parties are active in the wholesale distribution markets for tableware products (a) and in the markets for the distribution of food packaging (b).</w:t>
      </w:r>
    </w:p>
    <w:p>
      <w:r>
        <w:t>1. THE MARKETS FOR TABLEWARE PRODUCTS</w:t>
      </w:r>
    </w:p>
    <w:p>
      <w:r>
        <w:t>91. The parties are only present in the wholesale distribution segment of single-use tableware products. However, in the absence of public data and the marginal nature of their activity in this market segment, they have not been able to provide an estimate of the size of this possible segment, nor of the market shares that the new entity would hold therein.</w:t>
      </w:r>
    </w:p>
    <w:p>
      <w:r>
        <w:t>92. On the other hand, the notifying party has provided estimates of the size of the wholesale market for tableware products intended for professionals by extrapolating data contained in the structural study of the tableware market in France conducted by the research firm I+C on behalf of the Committee of Tableware in 2007.</w:t>
      </w:r>
    </w:p>
    <w:p>
      <w:r>
        <w:t>93. Based on this, the notifying party estimates that it would hold a market share of [0-5] % in the wholesale market for tableware products intended for professionals following the operation. According to these same estimates34, it would face several competitors, notably Metro ([10-20] %), E.CF ([5-10] %), and Ecotel ([5-10] %).</w:t>
      </w:r>
    </w:p>
    <w:p>
      <w:r>
        <w:t>94. Furthermore, this market share is not likely to confer upon the new entity a purchasing power that could be exercised in the upstream market for the supply of tableware products.</w:t>
      </w:r>
    </w:p>
    <w:p>
      <w:r>
        <w:t>95. Given these elements, the operation is not likely to harm competition through horizontal effects in the wholesale markets for tableware products intended for professionals.</w:t>
      </w:r>
    </w:p>
    <w:p>
      <w:r>
        <w:t>2. THE MARKETS FOR FOOD PACKAGING</w:t>
      </w:r>
    </w:p>
    <w:p>
      <w:r>
        <w:t>96. The notifying party has provided an assessment of the size of the food packaging distribution market, considering the marginal nature of the parties' activity in this market. This is consistent with data published by France Emballage.</w:t>
      </w:r>
    </w:p>
    <w:p>
      <w:r>
        <w:t>97. Based on this, the notifying party estimates that it would hold a market share of less than 1 % in the food packaging distribution market following the operation.</w:t>
      </w:r>
    </w:p>
    <w:p>
      <w:r>
        <w:t>98. Furthermore, this market share is not likely to confer upon the new entity a purchasing power that could be exercised in the upstream market for the supply of food packaging.</w:t>
      </w:r>
    </w:p>
    <w:p>
      <w:r>
        <w:t>99. Given these elements, the operation is not likely to harm competition through horizontal effects in the wholesale markets for food packaging.</w:t>
      </w:r>
    </w:p>
    <w:p>
      <w:r>
        <w:t>34 The notifying party, having been unable to accurately estimate the market shares of its main competitors, has therefore made estimates presented in the form of ranges.</w:t>
      </w:r>
    </w:p>
    <w:p>
      <w:r>
        <w:t>DECIDES</w:t>
      </w:r>
    </w:p>
    <w:p>
      <w:r>
        <w:t>Sole Article: The operation notified under number 17-204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