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https://www.autoritedelaconcurrence.fr/fr/decision-de-controle-des-concentrations/relative-la-prise-de-controle-exclusif-des-societes-hertz</w:t>
      </w:r>
    </w:p>
    <w:p>
      <w:r>
        <w:t>Pages translated : 6</w:t>
      </w:r>
    </w:p>
    <w:p/>
    <w:p>
      <w:r>
        <w:rPr>
          <w:b/>
        </w:rPr>
        <w:t>[Pages 1–3]</w:t>
      </w:r>
    </w:p>
    <w:p>
      <w:r>
        <w:t xml:space="preserve">FRENCH REPUBLIC  </w:t>
        <w:br/>
        <w:t xml:space="preserve">Decision No. 15-DCC-132 of October 2, 2015  </w:t>
        <w:br/>
        <w:t>regarding the exclusive control of the companies Hertz Equipement France and Hertz Alquiler de Maquinaria by the company Loxam SAS</w:t>
      </w:r>
    </w:p>
    <w:p>
      <w:r>
        <w:t xml:space="preserve">The Competition Authority,  </w:t>
        <w:br/>
        <w:t xml:space="preserve">Having regard to the notification file submitted in full to the merger service on August 31, 2015, regarding the exclusive control of the companies Hertz Equipement France and Hertz Alquiler de Maquinaria by the company Loxam SAS, formalized by an offer letter and a draft share transfer agreement dated July 1, 2015;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Loxam SAS (hereinafter "Loxam") heads the Loxam group. It is exclusively controlled by Mr. [X]. [Confidential]1. The Loxam group is primarily active in the construction equipment rental sector and the provision of ancillary services to rental (delivery, collection, repair, expertise). To a lesser extent, Loxam is also active in the sale of tools, consumables, construction equipment, and personal protective equipment.  </w:t>
        <w:br/>
        <w:t xml:space="preserve">2. Hertz Equipement France (hereinafter "Hertz Equipement"), which is a French law company, and Hertz Alquiler de Maquinaria, which is a Spanish law company, are two subsidiaries of the Hertz group, primarily present in the construction equipment rental sector and the provision of ancillary services to rental, as well as, to a lesser extent, in the sale of construction equipment.  </w:t>
        <w:br/>
        <w:t>1 [Confidential].</w:t>
      </w:r>
    </w:p>
    <w:p>
      <w:r>
        <w:t xml:space="preserve">3. Under the terms of the offer letter dated July 1, 2015, and the draft share transfer agreement annexed thereto, the transaction involves the acquisition by the Loxam group of 100% of the capital of Hertz Equipement and Hertz Alquiler de Maquinaria. This transaction, which results in the exclusive control of the companies Hertz Equipement and Hertz Alquiler de Maquinaria by Loxam, therefore constitutes a concentration within the meaning of Article L.430-1 of the Commercial Code.  </w:t>
        <w:br/>
        <w:t>4. The companies concerned together achieve a total worldwide turnover excluding tax of more than 150 million euros (Loxam group: […] euros for the fiscal year ending December 31, 2014; Hertz Equipement and Hertz Alquiler de Maquinaria: […] euros for the same fiscal year). Each of these companies has achieved in France a turnover exceeding 50 million euros (Loxam group: […] euros for the fiscal year ending December 31, 2014; Hertz Equipement and Hertz Alquiler de Maquinaria: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5. The parties are simultaneously active in the construction equipment rental sector.  </w:t>
        <w:br/>
        <w:t>6. Furthermore, they engage in a residual activity of selling construction equipment and ancillary products (tools, consumables, construction equipment, personal protective equipment, power tools, and other small equipment) which represents less than [5-10]% of their turnover. Regardless of the segmentations considered for the markets corresponding to the sale of construction equipment and ancillary products, the parties will hold a cumulative market share of less than [0-5]%. Consequently, the markets for the sale of construction equipment and ancillary products will not be examined further in this decision.</w:t>
      </w:r>
    </w:p>
    <w:p>
      <w:r>
        <w:t xml:space="preserve">A. RELEVANT SERVICE MARKETS  </w:t>
        <w:br/>
        <w:t xml:space="preserve">7. Decision-making practice has distinguished between, on the one hand, the manufacturing and sale of construction equipment and, on the other hand, the rental of construction equipment2.  </w:t>
        <w:br/>
        <w:t xml:space="preserve">8. Regarding the rental of construction equipment, decision-making practice has considered it relevant to segment according to the type of equipment offered for rent3. It has, on the one hand, noted that, from the demand perspective, there may be a specific need for a type of equipment, particularly when the renting construction company is only performing a portion of the work that requires only one type of equipment. It has, on the other hand, noted that, from the supply perspective, a significant proportion of rental companies specialize in renting a specific type of equipment. Without definitively resolving the issue of the exact market boundaries in question, decision-making practice has identified several market segments grouping equipment by major function:  </w:t>
        <w:br/>
        <w:t xml:space="preserve">- personnel lifting equipment, which includes all mobile machines intended to move people for performing work at height4;  </w:t>
        <w:br/>
        <w:t xml:space="preserve">- generators, which are devices for autonomous electricity production;  </w:t>
        <w:br/>
        <w:t xml:space="preserve">- modular construction equipment, consisting of mobile and modular office, housing, or temporary storage elements;  </w:t>
        <w:br/>
        <w:t xml:space="preserve">- compaction equipment, which consists of self-propelled or towed machines intended to compact soils or surfaces;  </w:t>
        <w:br/>
        <w:t xml:space="preserve">- earthmoving equipment, which includes all self-propelled machines intended to perform loading or excavation operations, as well as their accessories, for all types of work and sites.  </w:t>
        <w:br/>
        <w:t xml:space="preserve">9. Decision-making practice5 has, on the other hand, ruled out an additional segmentation of the construction equipment rental services sector, on the one hand, based on the size of the site and, on the other hand, based on the type of clientele.  </w:t>
        <w:br/>
        <w:t>10. There is no need to challenge these definitions of the relevant markets in the context of the present transaction.</w:t>
      </w:r>
    </w:p>
    <w:p>
      <w:r>
        <w:t xml:space="preserve">B. RELEVANT GEOGRAPHICAL MARKETS  </w:t>
        <w:br/>
        <w:t xml:space="preserve">11. Decision-making practice6 has left open the question of whether the markets for construction equipment rental generally have a national or local dimension (radius of 50 to 100 kilometers around the rental agency).  </w:t>
        <w:br/>
        <w:t xml:space="preserve">12. However, regarding the rental of personnel lifting equipment, decision-making practice7 has considered that this market has a national dimension, insofar as the majority of operators consist of national groups with a network of agencies covering the French territory. There is no need to challenge this definition in the present case.  </w:t>
        <w:br/>
        <w:t xml:space="preserve">13. For the other markets of construction equipment rental, the question of their geographical delimitation may be left open, as, regardless of the delimitation retained, the conclusions of the analysis remain unchanged. In this case, the effects of the transaction will be analyzed at the national level and at the regional level on the overall market for construction equipment rental and on the markets segmented by types of equipment. The effects of the transaction on the personnel lifting equipment rental market will be analyzed at the national level.  </w:t>
        <w:br/>
        <w:t xml:space="preserve">4 See in particular the letter from the Minister of Economy  </w:t>
        <w:br/>
        <w:t xml:space="preserve">5 See the Competition Authority decision No. 11-DCC-194 cited above and the letter from the Minister of Economy No. C2007-38 cited above.  </w:t>
        <w:br/>
        <w:t xml:space="preserve">6 See the Competition Authority decision No. 11-DCC-194 cited above and the letter from the Minister of Economy No. C2007-38 cited above.  </w:t>
        <w:br/>
        <w:t>7 See the letter from the Minister of Economy dated November 19, 2003 cited above and the letter from the Minister of Economy No. C2007-38 dated May 24, 2007 cited above.</w:t>
      </w:r>
    </w:p>
    <w:p>
      <w:r>
        <w:rPr>
          <w:b/>
        </w:rPr>
        <w:t>[Pages 4–6]</w:t>
      </w:r>
    </w:p>
    <w:p>
      <w:r>
        <w:t>III. Competitive Analysis</w:t>
      </w:r>
    </w:p>
    <w:p>
      <w:r>
        <w:t>14. The parties simultaneously offer equipment rental services primarily to a business clientele, and more specifically, rental services for generators, modular construction equipment, personnel lifting equipment, compaction, earthmoving, and general rental (including notably the rental of small construction tools such as jackhammers, drills, circular saws, vibrating plates, scaffolding, ladders, sanders, carpet cleaners, heating, air conditioning, compressors, gardening equipment).</w:t>
      </w:r>
    </w:p>
    <w:p>
      <w:r>
        <w:t>15. At the national level, the market shares of the parties, expressed in value for the year 2014, in the equipment rental market and in market segmentations by type of equipment in which the parties are active, are shown in the following table:</w:t>
      </w:r>
    </w:p>
    <w:p>
      <w:r>
        <w:t>| Hertz | Loxam | Total Parties |</w:t>
        <w:br/>
        <w:t>|-------|-------|---------------|</w:t>
        <w:br/>
        <w:t>| Equipment | | |</w:t>
        <w:br/>
        <w:t>| Equipment rental all types combined | [10-20] % | [0-5] % | [10-20] % |</w:t>
        <w:br/>
        <w:t>| Generator rental | [10-20] % | [0-5] % | [10-20] % |</w:t>
        <w:br/>
        <w:t>| Modular construction equipment rental | [5-10] % | [0-5] % | [5-10] % |</w:t>
        <w:br/>
        <w:t>| Personnel lifting equipment rental | [30-40] % | [0-5] % | [30-40] % |</w:t>
        <w:br/>
        <w:t>| Compaction equipment rental | [10-20] % | [0-5] % | [10-20] % |</w:t>
        <w:br/>
        <w:t>| Earthmoving equipment rental | [10-20] % | [0-5] % | [10-20] % |</w:t>
        <w:br/>
        <w:t>| General rental | [10-20] % | [0-5] % | [10-20] % |</w:t>
      </w:r>
    </w:p>
    <w:p>
      <w:r>
        <w:t>16. It follows from this table that following the transaction, the parties will hold market shares at the national level of less than [20-30] %, regardless of the market segmentation considered, except for the market for personnel lifting equipment, where the combined market share of the parties amounts to [30-40] %, with an increment of [0-5] %.</w:t>
      </w:r>
    </w:p>
    <w:p>
      <w:r>
        <w:t>17. In this market, the main competitors of the parties are (i) general rental companies with national coverage, such as Kiloutou ([20-30] %) or Salti ([5-10] %), (ii) specialist rental companies present at the national level, such as Accès Industrie ([5-10] %), Lavendon ([5-10] %), and Riwal ([5-10] %), and (iii) local specialized rental companies such as Altiloc in Brittany, Sudelev in the Midi-Pyrénées region, or Loc’nacelle in the Rhône-Alpes region.</w:t>
      </w:r>
    </w:p>
    <w:p>
      <w:r>
        <w:t>18. The parties also emphasize, in accordance with decision-making practice, that they will also face competition from manufacturers of construction equipment (such as Caterpillar, Wacker, Atlas Copco, Haulotte, Hilti, Telstar, Liebherr) or distributors of construction equipment (for example, Bergerat Monnoyeur, distributor of the Caterpillar brand, or dealers of the Manitou brand) who have entered the rental market in recent years.</w:t>
      </w:r>
    </w:p>
    <w:p>
      <w:r>
        <w:t>19. Furthermore, the same decision-making practice has noted that the barriers to entry in the construction equipment rental markets are low. The substitution of one rental company for another remains inexpensive for a customer because rental contracts are generally of short duration and the rented construction equipment is generally standardized, and therefore does not differ based on the rental company. In addition, rental companies can expand their rental fleet and open new agencies to meet customer demand within a limited timeframe, making investments that cannot be considered as deterrent to entry or to the expansion of rental capacities in the market.</w:t>
      </w:r>
    </w:p>
    <w:p>
      <w:r>
        <w:t>20. Finally, decision-making practice considers that the countervailing power of demand is significant in the construction equipment rental markets. Large construction groups are important players who hold strong negotiating power. Other types of demand (SMEs, local authorities) have the ability to find alternative rental companies for each new project, particularly among the numerous construction equipment rental companies that have a network of agencies covering the national territory or that have a more regional or local presence.</w:t>
      </w:r>
    </w:p>
    <w:p>
      <w:r>
        <w:t>21. In light of these elements, the transaction is not likely to harm competition in the construction equipment rental markets at the national level.</w:t>
      </w:r>
    </w:p>
    <w:p>
      <w:r>
        <w:t>22. At the regional level, the activities of the parties overlap in fourteen regions. In these regions, the parties estimate that their market shares in the overall construction equipment rental market are as follows:</w:t>
      </w:r>
    </w:p>
    <w:p>
      <w:r>
        <w:t>| Regions | Loxam | Hertz Equipment | Total Parties |</w:t>
        <w:br/>
        <w:t>|---------|-------|----------------|---------------|</w:t>
        <w:br/>
        <w:t>| Aquitaine | [5-10] % | [0-5] % | [5-10] % |</w:t>
        <w:br/>
        <w:t>| Bourgogne | [20-30] % | [0-5] % | [20-30] % |</w:t>
        <w:br/>
        <w:t>| Bretagne | [10-20] % | [0-5] % | [20-30] % |</w:t>
        <w:br/>
        <w:t>| Franche-Comté | [20-30] % | [0-5] % | [20-30] % |</w:t>
        <w:br/>
        <w:t>| Haute-Normandie | [10-20] % | [0-5] % | [10-20] % |</w:t>
        <w:br/>
        <w:t>| Ile-de-France | [10-20] % | [0-5] % | [10-20] % |</w:t>
        <w:br/>
        <w:t>| Languedoc-Roussillon | [10-20] % | [0-5] % | [10-20] % |</w:t>
        <w:br/>
        <w:t>| Midi-Pyrénées | [10-20] % | [0-5] % | [10-20] % |</w:t>
        <w:br/>
        <w:t>| Nord-Pas-de-Calais | [5-10] % | [0-5] % | [10-20] % |</w:t>
        <w:br/>
        <w:t>| Pays de la Loire | [10-20] % | [0-5] % | [10-20] % |</w:t>
        <w:br/>
        <w:t>| Picardie | [10-20] % | [0-5] % | [10-20] % |</w:t>
        <w:br/>
        <w:t>| Poitou-Charentes | [10-20] % | [0-5] % | [10-20] % |</w:t>
        <w:br/>
        <w:t>| Rhône-Alpes | [10-20] % | [0-5] % | [10-20] % |</w:t>
      </w:r>
    </w:p>
    <w:p>
      <w:r>
        <w:t>23. It follows from these elements that following the transaction, Loxam will have a market share of less than [20-30] % in each of the regions where the target companies are present, with an increment of less than [5-10] %.</w:t>
      </w:r>
    </w:p>
    <w:p>
      <w:r>
        <w:t>24. Regarding the construction equipment rental markets segmented by types of equipment, the parties indicated that they did not have any public data regarding the activity of their competitors segmented by type of rented equipment at the regional level. However, they provided estimates of their market shares and those of their main competitors in the fourteen aforementioned regions where their activities overlap, in the segments of rental (i) of generators, (ii) of modular construction equipment, (iii) of compaction equipment, (iv) of earthmoving equipment, and (v) of general equipment.</w:t>
      </w:r>
    </w:p>
    <w:p>
      <w:r>
        <w:t>25. In the segment of generator rental, the parties estimate that they hold a combined market share of less than [20-30] %, regardless of the region considered, except for the regions Ile de France and Pays-de-Loire where they estimated their market share at [20-30] % (respective increment of [10-20] % and [10-20] %). The parties will face competition from significant operators, such as Aggreko ([10-20] % in both regions), Dron (respectively [5-10] % and [5-10] %), Kiloutou ([5-10] % in Ile-de-France), Gay Location ([5-10] % in Ile-de-France), and Delta Services Location ([5-10] % in Pays-de-Loire).</w:t>
      </w:r>
    </w:p>
    <w:p>
      <w:r>
        <w:t>26. In the segment of modular construction equipment rental, the parties estimate that they hold a combined market share of less than [10-20] %, regardless of the region considered.</w:t>
      </w:r>
    </w:p>
    <w:p>
      <w:r>
        <w:t>27. In the segment of compaction equipment rental, the parties estimate that they hold a market share of less than [20-30] % except in the regions of Brittany, Picardie, Poitou-Charentes, Pays de la Loire, and Languedoc-Roussillon. In Languedoc-Roussillon, the combined market share of the parties is estimated at [30-40] % (increment of less than [10-20] %) and the parties will continue to face competition from Kiloutou ([5-10] %), Loc+ ([0-5] %), and Enco and CFC ([0-5] %). In Poitou-Charentes, their combined market share would be [30-40] % (increment of [10-20] %), and they will face competition from Newloc ([5-10] %), Liebherr Location ([5-10] %), Kiloutou ([5-10] %), and Locati ([5-10] %). In Brittany, their combined market share would be [30-40] % (increment of [0-5] %) and they will face competition from Locarmor ([10-20] %), Kiloutou ([5-10] %), Bremat ([0-5] %), and l’Heureux ([0-5] %). In Picardie, their combined market share would be [20-30] % (increment of [5-10] %) and they will face competition from Kiloutou ([10-20] %), Enco ([0-5] %), and Liebherr Location ([0-5] %). In Pays-de-Loire, the combined market share of the parties is estimated at [20-30] % (increment of [5-10] %) and they will face competition from Kiloutou ([10-20] %), Newloc ([5-10] %), and Vendée Location ([5-10] %).</w:t>
      </w:r>
    </w:p>
    <w:p>
      <w:r>
        <w:t>28. In the segment of earthmoving equipment rental, the parties estimate that they hold a market share of less than [20-30] % regardless of the region considered, except for the Languedoc-Roussillon region where they estimated their combined market share at [20-30] %, with an increment of [0-5] %. They face competition from Kiloutou ([5-10] %), Loc + ([5-10] %), and CGL ([0-5] %).</w:t>
      </w:r>
    </w:p>
    <w:p>
      <w:r>
        <w:t>29. In the segment of general equipment rental, the parties estimate that they hold a market share of less than [20-30] % regardless of the region considered, except for the Haute-Normandie region. In this region, they estimate their combined market share at [20-30] % (increment of [0-5] %), and will face competition from Kiloutou ([10-20] %), Régis Location ([0-5] %), Salmat ([0-5] %), and Yaqua Louer ([0-5] %).</w:t>
      </w:r>
    </w:p>
    <w:p>
      <w:r>
        <w:t>30. It follows from the above that the notified transaction is not likely to harm competition in the overall construction equipment rental market or its potential sub-segmentations, whether at the national or regional level.</w:t>
      </w:r>
    </w:p>
    <w:p>
      <w:r>
        <w:t>DECIDES</w:t>
      </w:r>
    </w:p>
    <w:p>
      <w:r>
        <w:t>Sole Article: The transaction notified under number 15-126 is authorized.</w:t>
      </w:r>
    </w:p>
    <w:p>
      <w:r>
        <w:t>The Vice-President,</w:t>
        <w:br/>
        <w:t>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