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https://www.autoritedelaconcurrence.fr/fr/decision-de-controle-des-concentrations/relative-la-prise-de-controle-exclusif-des-societes-hoche</w:t>
      </w:r>
    </w:p>
    <w:p>
      <w:r>
        <w:t>Pages translated : 2</w:t>
      </w:r>
    </w:p>
    <w:p/>
    <w:p>
      <w:r>
        <w:rPr>
          <w:b/>
        </w:rPr>
        <w:t>[Pages 1–2]</w:t>
      </w:r>
    </w:p>
    <w:p>
      <w:r>
        <w:t xml:space="preserve">FRENCH REPUBLIC  </w:t>
        <w:br/>
        <w:t xml:space="preserve">Decision No. 20-DCC-123 of September 10, 2020  </w:t>
        <w:br/>
        <w:t xml:space="preserve">regarding the exclusive control acquisition of Hoche Automobiles and Michelet Automobiles by By My Car Automotive  </w:t>
        <w:br/>
        <w:t xml:space="preserve">The Competition Authority,  </w:t>
        <w:br/>
        <w:t xml:space="preserve">Having regard to the complete notification file submitted to the mergers department on September 2, 2020, concerning the exclusive control acquisition of Hoche Automobiles and Michelet Automobiles by By My Car Automotive, formalized by a share transfer agreement dated August 14, 2020;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exclusive control acquisition by By My Car Automotive, active in the automotive distribution sector, of Hoche Automobiles and Michelet Automobiles, which operate as car dealerships under the brands Skoda, Volkswagen, Seat, and Audi, in Fleury-les-Aubrais (45) and Orléans (45).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20-147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