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https://www.autoritedelaconcurrence.fr/fr/decision-de-controle-des-concentrations/relative-la-prise-de-controle-exclusif-des-societes-id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17-DCC-37 of March 27, 2017  </w:t>
        <w:br/>
        <w:t xml:space="preserve">regarding the exclusive control acquisition of the companies ID Macif, Macifilia, Thémis, M.A&amp;S, Mutavie Se, Macifin’, Securimut, OFI Holding, Macif Participations, Compagnie foncière Macif, Foncière de Lutèce, Lesseps Promotion, Marseille Grand Littoral, Siem, SNC Paranjou, Macifimo*, Macif Zycié TUW, Macif Conseil and Sgam Macif by the company Macif Sam  </w:t>
        <w:br/>
        <w:t xml:space="preserve">The Competition Authority,  </w:t>
        <w:br/>
        <w:t xml:space="preserve">Having regard to the complete notification file submitted to the mergers department on February 20, 2017, concerning the exclusive control acquisition of the companies ID Macif, Macifilia, Thémis, M.A&amp;S, Mutavie Se, Macifin’, Securimut, OFI Holding, Macif Participations, Compagnie foncière Macif, Foncière de Lutèce, Lesseps Promotion, Marseille Grand Littoral, Siem, SNC Paranjou, Macifimo*, Macif Zycié TUW, Macif Conseil and Sgam Macif by the company Macif Sam and materialized by a minutes of the extraordinary general meeting of SFEREN on September 28, 2016;  </w:t>
        <w:br/>
        <w:t xml:space="preserve">Having regard to Book IV of the Commercial Code relating to price and competition freedom,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companies ID Macif, Macifilia, Thémis, M.A&amp;S, Mutavie Se, Macifin’, Securimut, OFI Holding, Macif Participations, Compagnie foncière Macif, Foncière de Lutèce, Lesseps Promotion, Marseille Grand Littoral, Siem, SNC Paranjou, Macifimo*, Macif Zycié TUW, Macif Conseil and Sgam Macif by the company Macif Sam, companies active in the insurance sector. It constitutes a concentration operation within the meaning of Article L. 430-1 of the Commercial Code. Given the turnover achieved by the concerned companies, the thresholds provided for in Article 1, paragraph 2, a) and b) of Regulation (EC) No. 139/2004 of the Council of January 20, 2004 are met. Nevertheless,  </w:t>
        <w:br/>
        <w:t>* Correction of material error.</w:t>
      </w:r>
    </w:p>
    <w:p>
      <w:r>
        <w:t xml:space="preserve">the concerned companies each generating more than two-thirds of their turnover in France, the operation is not of European dimension. On the other hand,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 xml:space="preserve">2. In view of the elements of the file, the operation is not likely to harm competition in the concerned markets.  </w:t>
        <w:br/>
        <w:t xml:space="preserve">DECIDES  </w:t>
        <w:br/>
        <w:t xml:space="preserve">Sole Article: The operation notified under number 16-124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