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https://www.autoritedelaconcurrence.fr/fr/decision-de-controle-des-concentrations/relative-la-prise-de-controle-exclusif-des-societes-imarko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14-DCC-61 of April 25, 2014  </w:t>
        <w:br/>
        <w:t xml:space="preserve">regarding the exclusive control acquisition of Imarko SA and  </w:t>
        <w:br/>
        <w:t xml:space="preserve">Laboratoires Arkopharma SA by Apharma Capital SAS  </w:t>
        <w:br/>
        <w:t xml:space="preserve">The Competition Authority,  </w:t>
        <w:br/>
        <w:t xml:space="preserve">Having regard to the complete notification file submitted to the mergers department on April 2, 2014,  </w:t>
        <w:br/>
        <w:t xml:space="preserve">concerning the exclusive control acquisition of Imarko SA and Laboratoires Arkopharma SA  </w:t>
        <w:br/>
        <w:t xml:space="preserve">by Apharma Capital SAS, formalized by a purchase promise dated March 6, 2014;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Imarko group, active in the  </w:t>
        <w:br/>
        <w:t xml:space="preserve">sectors of design, production, and marketing of dietary supplements, over-the-counter medicines,  </w:t>
        <w:br/>
        <w:t xml:space="preserve">homeopathic medicines, and cosmetic and personal hygiene products, by Apharma Capital SAS, a subsidiary  </w:t>
        <w:br/>
        <w:t xml:space="preserve">of the Montagu group, active in various sectors, including the valuation of motor vehicles, the  </w:t>
        <w:br/>
        <w:t xml:space="preserve">provision of software for analysis laboratories, the provision of ophthalmic surgery equipment, the  </w:t>
        <w:br/>
        <w:t xml:space="preserve">provision of medical imaging and renal care services, the distribution of electronic products, the  </w:t>
        <w:br/>
        <w:t xml:space="preserve">manufacturing and marketing of margarine, as well as education. This operation constitutes a concentration  </w:t>
        <w:br/>
        <w:t xml:space="preserve">operation within the meaning of Article L. 430-1 of the Commercial Code. Given the turnover achieved by the  </w:t>
        <w:br/>
        <w:t xml:space="preserve">concerned companies, the operation does not fall under the jurisdiction of the European Union. On the other  </w:t>
        <w:br/>
        <w:t xml:space="preserve">hand, the control thresholds related to concentration operations mentioned in point I of Article L. 430-2 of  </w:t>
        <w:br/>
        <w:t xml:space="preserve">the Commercial Code are exceeded. This operation is therefore subject to the provisions of Articles L. 430-3  </w:t>
        <w:br/>
        <w:t xml:space="preserve">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14-054 is authorized.  </w:t>
        <w:br/>
        <w:t xml:space="preserve">The Vice-President,  </w:t>
        <w:br/>
        <w:t xml:space="preserve">Claire Favre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