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https://www.autoritedelaconcurrence.fr/fr/decision-de-controle-des-concentrations/relative-la-prise-de-controle-exclusif-des-societes-jfc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23-DCC-58 of March 21, 2023  </w:t>
        <w:br/>
        <w:t xml:space="preserve">regarding the exclusive control acquisition of the companies  </w:t>
        <w:br/>
        <w:t xml:space="preserve">JFC Caen-Lisieux, JFC Rouen-Le Havre, and JFC Evreux Les Andelys  </w:t>
        <w:br/>
        <w:t>by the Mary group</w:t>
      </w:r>
    </w:p>
    <w:p>
      <w:r>
        <w:t>The Competition Authority,</w:t>
      </w:r>
    </w:p>
    <w:p>
      <w:r>
        <w:t xml:space="preserve">Having regard to the complete notification file sent to the mergers department on February 28, 2023,  </w:t>
        <w:br/>
        <w:t xml:space="preserve">concerning the exclusive control acquisition by the Mary group of the companies JFC Caen-Lisieux,  </w:t>
        <w:br/>
        <w:t xml:space="preserve">JFC Rouen-Le Havre, and JFC Evreux Les Andelys, formalized by a letter of intent dated  </w:t>
        <w:br/>
        <w:t>January 5, 2023;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 xml:space="preserve">Adopts the following decision:  </w:t>
        <w:br/>
        <w:t xml:space="preserve">1. The notified operation consists of the exclusive control acquisition of the companies JFC Caen-Lisieux,  </w:t>
        <w:br/>
        <w:t xml:space="preserve">JFC Rouen-Le Havre, and JFC Evreux Les Andelys, which operate several automotive distribution businesses in the departments of Calvados (14), Eure (27),  </w:t>
        <w:br/>
        <w:t xml:space="preserve">and Seine-Maritime (76), by the Mary group (through the company François Mary développement), which is itself active in the automotive distribution sector in the west of France. 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retail control thresholds mentioned in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23-043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