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https://www.autoritedelaconcurrence.fr/fr/decision-de-controle-des-concentrations/relative-la-prise-de-controle-exclusif-des-societes-jfm-et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16-DCC-214 of December 23, 2016  </w:t>
        <w:br/>
        <w:t xml:space="preserve">regarding the exclusive control acquisition of companies JFM and MERI 80  </w:t>
        <w:br/>
        <w:t xml:space="preserve">by Mr. Doire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24, 2016, concerning the exclusive control acquisition of companies JFM and MERI 80 by  </w:t>
        <w:br/>
        <w:t xml:space="preserve">Mr. Doire, formalized by a conditional agreement protocol dated  </w:t>
        <w:br/>
        <w:t xml:space="preserve">November 23,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companies JFM and MERI 80,  </w:t>
        <w:br/>
        <w:t xml:space="preserve">which operate a food-dominant retail outlet under the brand Hyper U in  </w:t>
        <w:br/>
        <w:t xml:space="preserve">the city of Romans sur Isère (26), by Mr. Doire who also controls a store under  </w:t>
        <w:br/>
        <w:t xml:space="preserve">the brand Hyper U in Alissas (07). This operation constitutes a concentration operation within  </w:t>
        <w:br/>
        <w:t xml:space="preserve">the meaning of Article L. 430-1 of the Commercial Code. Given the turnover generated  </w:t>
        <w:br/>
        <w:t xml:space="preserve">by the companies concerned, the operation does not fall under the jurisdiction of the European  </w:t>
        <w:br/>
        <w:t xml:space="preserve">Union. On the other hand, the retail control thresholds mentioned in  </w:t>
        <w:br/>
        <w:t xml:space="preserve">point 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16-255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