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https://www.autoritedelaconcurrence.fr/fr/decision-de-controle-des-concentrations/relative-la-prise-de-controle-exclusif-des-societes-la</w:t>
      </w:r>
    </w:p>
    <w:p>
      <w:r>
        <w:t>Pages translated : 12</w:t>
      </w:r>
    </w:p>
    <w:p/>
    <w:p>
      <w:r>
        <w:rPr>
          <w:b/>
        </w:rPr>
        <w:t>[Pages 1–3]</w:t>
      </w:r>
    </w:p>
    <w:p>
      <w:r>
        <w:t xml:space="preserve">FRENCH REPUBLIC  </w:t>
        <w:br/>
        <w:t xml:space="preserve">Decision No. 10-DCC-79 of July 22, 2010  </w:t>
        <w:br/>
        <w:t>regarding the exclusive control of the companies La Compagnie de Formation Chezy (CFC) and Forteam by Duke Street Holdings Ltd</w:t>
      </w:r>
    </w:p>
    <w:p>
      <w:r>
        <w:t xml:space="preserve">The Competition Authority,  </w:t>
        <w:br/>
        <w:t xml:space="preserve">Having regard to the notification file sent to the merger service on June 11, 2010, declared complete on June 17, 2010, regarding the exclusive control of the companies Compagnie de Formation Chezy (CFC) and Forteam by FCPR Duke Street Capital VI and Parallel Private Equity Duke Street Limited;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FCPR Duke Street Capital VI is a venture capital fund managed by the French company Duke Street SAS. Parallel Private Equity Duke Street Limited Partnership is an investment vehicle managed and controlled by the English company Duke Street General Partner Limited. These two management companies are ultimately controlled by Duke Street Holdings Ltd (hereinafter "DSC"). The investors in the funds managed by DSC are primarily banks, insurance companies, or pension funds that do not exercise any control over them. The funds managed by DSC hold controlling interests in the capital of companies active in various fields such as dental care, food and non-food products, nautical equipment, precision alloy parts, wear protection solutions, IT services, medical diagnostics, debt buyouts and collections, ATMs, and consumer payment networks. The companies held by the funds managed by DSC generated, in 2009, a global turnover excluding taxes of 2,688.2 million euros, of which 285 million euros were generated in France.</w:t>
      </w:r>
    </w:p>
    <w:p>
      <w:r>
        <w:t>2. La Compagnie de Formation Chezy (hereinafter "CFC") is a public limited company whose majority of capital is divided between spouses X ([&gt;50]%) and Mr. Y ([&lt;50]%). CFC and its subsidiaries form a private higher education and professional training group with more than 17,000 students and trainees in France. It operates in the market through seven schools (Ecole Pigier, Esicad, Iscom, Mercure, Ecole internationale Tunon, It Learning Academy, Plus Values) located in several major French cities. In 2009, the CFC group achieved a total turnover excluding taxes of 50.2 million euros, of which 50.1 million was generated in France.</w:t>
      </w:r>
    </w:p>
    <w:p>
      <w:r>
        <w:t>3. The company Forteam (hereinafter "Forteam") is a simplified joint-stock company whose capital is directly held by the company Institut des Participations de l’Ouest (hereinafter "IPO") and indirectly by spouses Z and spouses A. Forteam and its subsidiaries are primarily active in the field of professional training, IT services, and human resources. Only its teaching and training activities provided by its subsidiaries Certec, Aftec, Forteam Formation, and the Ecole Supérieure des pays de Loire will be transferred as part of this operation. The Forteam group generated in 2009, from the transferred activities alone, a total turnover excluding taxes of 15.8 million euros, exclusively in France.</w:t>
      </w:r>
    </w:p>
    <w:p>
      <w:r>
        <w:t>4. For the purposes of the operation, a simplified joint-stock company named Eduservices (hereinafter "Eduservices") has been established by the acquirer. It will acquire 100% of the capital of CFC and 100% of the capital of Forteam according to the terms provided by two transfer agreements.</w:t>
      </w:r>
    </w:p>
    <w:p>
      <w:r>
        <w:t>5. Under the first agreement, dated June 2, 2010, Eduservices commits to acquire all of the capital and voting rights of Forteam from IPO, spouses Z, and spouses A. In its Article 3.1 (i), the contract specifies that the completion of the acquisition of CFC by Eduservices is a suspensive condition for the transfer of Forteam to Eduservices.</w:t>
      </w:r>
    </w:p>
    <w:p>
      <w:r>
        <w:t>6. The second transfer agreement, dated June 10, 2010, was concluded between Eduservices on one hand, and Mr. Y and the company Ubibène Grascolo, a structure created by spouses X for the purpose of contributing the CFC shares they hold, on the other hand. Indeed, spouses X wish, in connection with the operation, to take a minority stake in the capital of Eduservices through the company Ubibène Grascolo.</w:t>
      </w:r>
    </w:p>
    <w:p>
      <w:r>
        <w:t>7. If the acquisition of Forteam cannot take place due to the failure of the other operation, the reverse is not true. However, in accordance with the consolidated communication of the European Commission, "if a factual conditionality can be satisfactorily established, it may also be sufficient to consider the operations as a single concentration operation." It emphasizes in this regard that "the interdependence of multiple operations may appear in light of the statements made by the parties themselves or the simultaneous conclusion of the agreements in question." The European Commission also indicates that "operations that constitute a whole based on the economic objectives pursued by the parties must also be assessed within the framework of a single procedure. In these cases, the modification of the market structure is induced by all these operations taken together." In this case, the acquisition of CFC and Forteam is simultaneous, intended, and organized as such by the parties. These acquisitions pertain to the same sector of activity and pursue the same economic objective. It can therefore be considered that these two acquisitions constitute a single operation.</w:t>
      </w:r>
    </w:p>
    <w:p>
      <w:r>
        <w:t>8. At the end of the operation, spouses X via the company Ubibène Grascolo will retain a minority stake in the capital of Eduservices. It will then be held by DSC at [&gt;50]% and by Ubibène Grascolo at [&lt;50]%. It appears from the draft articles of incorporation of Eduservices that the rights granted to Ubibène Grascolo will not exceed what is normally granted to a minority shareholder for the protection of its financial interests. DSC will therefore exercise exclusive control over Eduservices, which holds all of the capital of the companies Forteam and CFC.</w:t>
      </w:r>
    </w:p>
    <w:p>
      <w:r>
        <w:t>9. The exclusive control by DSC, via Eduservices, of the companies CFC and Forteam, therefore constitutes a concentration within the meaning of Article L. 430-1 of the Commercial Code. Given the turnover of the companies concerned, it does not have a community dimension. On the other hand,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10. Forteam and CFC are simultaneously present in the private higher education and professional training sector. The acquirer, for its part, is not present in this sector of activity.</w:t>
      </w:r>
    </w:p>
    <w:p>
      <w:r>
        <w:t>11. The schools and training institutes, subsidiaries of the parties, offer training of different natures, initial or alternating training and continuing professional training, in various fields: business and management, creative and communication professions, tourism, hospitality, health, and the paramedical sector.</w:t>
      </w:r>
    </w:p>
    <w:p>
      <w:r>
        <w:t xml:space="preserve">A. THE SERVICE MARKETS  </w:t>
        <w:br/>
        <w:t>12. Article L. 6111-1 of the Labor Code defines professional training: "Lifelong professional training constitutes a national obligation. It includes initial training, notably including apprenticeships, and subsequent training, which constitutes continuing professional training, intended for adults and young people already engaged in working life or who are entering it."</w:t>
      </w:r>
    </w:p>
    <w:p>
      <w:r>
        <w:t>13. Continuing professional training is aimed at employees or job seekers who, although being the "final consumers" of training, do not often express a direct demand and are rarely the direct purchasers of the training course. The demand more frequently comes from companies and public authorities who are responsible for defining the profile of the beneficiary audiences.</w:t>
      </w:r>
    </w:p>
    <w:p>
      <w:r>
        <w:t>14. Community decision-making practice has distinguished, in the market for IT training, training attended by adults for professional purposes from that provided to younger audiences in an educational context, invoking in particular the differences.</w:t>
      </w:r>
    </w:p>
    <w:p>
      <w:r>
        <w:rPr>
          <w:b/>
        </w:rPr>
        <w:t>[Pages 4–6]</w:t>
      </w:r>
    </w:p>
    <w:p>
      <w:r>
        <w:t>demand and expectations of trainees and the differences that arise in terms of the presentation of teachings.</w:t>
      </w:r>
    </w:p>
    <w:p>
      <w:r>
        <w:t>15. Thus, a first market segmentation can be considered between initial training or alternating training on the one hand, and continuing professional training on the other.</w:t>
      </w:r>
    </w:p>
    <w:p>
      <w:r>
        <w:t>1. MARKETS FOR INITIAL OR ALTERNATING TRAINING</w:t>
      </w:r>
    </w:p>
    <w:p>
      <w:r>
        <w:t>16. Several axes of segmentation can be considered:</w:t>
        <w:br/>
        <w:t>- according to the nature of the training cycle: between full-time initial training and alternating training,</w:t>
        <w:br/>
        <w:t>- according to the field of training,</w:t>
        <w:br/>
        <w:t>- according to the duration of the study cycle,</w:t>
        <w:br/>
        <w:t>- between public education and private higher education.</w:t>
      </w:r>
    </w:p>
    <w:p>
      <w:r>
        <w:t>a) Segmentation according to the nature of the training cycle</w:t>
      </w:r>
    </w:p>
    <w:p>
      <w:r>
        <w:t>17. Higher education offers two training modalities: initial training, full-time, and alternating training which combines periods in companies and in training organizations. It emerges from the instruction that students from secondary education opting for alternating training primarily seek a paid training. The alternating student has the status of an employee and sees alternating training as a means to obtain funding for their studies. The demand for full-time initial training is of a different nature: the student delays their entry into the labor market and makes a long-term investment for which they pay the full tuition fees at the beginning of the year.</w:t>
      </w:r>
    </w:p>
    <w:p>
      <w:r>
        <w:t>18. Providers of initial training do not always offer an equivalent offer in the form of alternating training, or they do not offer alternating cycles at all. The offer of alternating and full-time training implies a different organization depending on the nature of the training (separate groups, pedagogical adjustments, designation of a tutor or an apprenticeship master for alternating students, etc.). Training institutes offering apprenticeship contracts – a specific modality of alternating training – known as apprenticeship training centers (CFA) must be conventionally approved.</w:t>
      </w:r>
    </w:p>
    <w:p>
      <w:r>
        <w:t>19. Furthermore, all public sources of information and guidance for young people split the information related to initial training from that on alternating training; a public information portal exclusively dedicated to alternating training was created in May 2010.</w:t>
      </w:r>
    </w:p>
    <w:p>
      <w:r>
        <w:t>20. In light of these elements, a segmentation will be retained, in this case, between alternating training and initial training.</w:t>
      </w:r>
    </w:p>
    <w:p>
      <w:r>
        <w:t>b) Segmentation according to the field of training</w:t>
      </w:r>
    </w:p>
    <w:p>
      <w:r>
        <w:t>21. The parties suggest a segmentation of markets by training sectors by analogy with the intervention sectors envisaged by national practice in professional training. According to the specialization chosen by the student, the training offer is limited to only those schools, institutes, or universities offering this specialty. The parties propose to retain at a minimum the sectors in which they are present as possible market segments, namely Commerce/Management, Tourism/Hospitality/Reception, Health/Paramedical/Medico-social, Image and Communication/Creation Professions, Information Technology. According to their estimates, these specialties concern 53% of the annual enrollments in French higher education.</w:t>
      </w:r>
    </w:p>
    <w:p>
      <w:r>
        <w:t>22. Several elements confirm the non-substitutability of training specialties among themselves from both the demand and supply structure perspectives. From the demand perspective, the choice of a specialty leads the applicant to consider only the schools and universities offering training in that field. Moreover, the structure of the supply differs by field. Certain fields such as literary subjects, preparation for teaching and research professions, are the domain of public universities and are not offered by private training institutes for historical reasons or professional opportunities. Conversely, in certain specialties, the offer from the public sector appears structurally insufficient or even nonexistent (preparatory classes for osteopathy studies, physiotherapy, art or journalism schools, etc.).</w:t>
      </w:r>
    </w:p>
    <w:p>
      <w:r>
        <w:t>23. Regarding the field of business and management, the offer itself is segmented: the reputation of certain institutes or schools among recruiters makes them less substitutable with other actors in the national market. The attractiveness of prestigious business schools (HEC, ESSEC, ESCP, etc.) gives these actors significant market power vis-à-vis students, and an increase in their tuition fees would probably not decrease the number of candidates for entrance exams to these schools. By their positioning, these actors seek to be competitive both against renowned international institutions (Harvard Business School, Stanford, etc.) and other French business schools.</w:t>
      </w:r>
    </w:p>
    <w:p>
      <w:r>
        <w:t>24. In light of the above, a segmentation by field of training can be considered. The partial typology proposed by the parties seems to correspond to what is found in training catalogs on the one hand, and to the interministerial nomenclature of training specialties on the other hand. It will therefore be used, in this case, to assess the effects of the operation. For the field of business and management, it will be considered that the largest business schools constitute a distinct market.</w:t>
      </w:r>
    </w:p>
    <w:p>
      <w:r>
        <w:t>c) Segmentation according to the duration of the study cycle</w:t>
      </w:r>
    </w:p>
    <w:p>
      <w:r>
        <w:t>25. In addition to the field of specialization, the duration of the study cycle constitutes an important parameter in the orientation choices of students. Commonly expressed in years post-baccalaureate (Bac+2, etc.), the duration of training refers to a level of qualification easily identifiable by recruiters as well as by students, and to which correspond types of employment and salary expectations in the labor market.</w:t>
      </w:r>
    </w:p>
    <w:p>
      <w:r>
        <w:t>26. In terms of educational investment, various studies have noted that individuals' behavior could be modeled as the result of a cost-benefit calculation weighted by their probability of success, under the constraints of individual sociological data. This phenomenon of self-selection leads some students to favor a short training in order to access the labor market more quickly, while others prefer to invest in a longer training or maximize their chances of success by going through a preparatory school. Statistical studies conducted among baccalaureate holders choosing short cycles such as BTS or DUT show a genuine motivation for short studies. The distinction between long studies and short studies seems to be a determining criterion from the demand perspective.</w:t>
      </w:r>
    </w:p>
    <w:p>
      <w:r>
        <w:t>27. The criteria of specialization and duration of study cycles are interdependent. Certain specialties offered by the parties, such as training for hospitality and tourism professions, are almost systematically offered in short cycles. Thus, it is estimated that 92% of students wishing to train in Hospitality/Tourism/Reception have opted for short courses such as BTS.</w:t>
      </w:r>
    </w:p>
    <w:p>
      <w:r>
        <w:t>28. The so-called "LMD" reform (License-Master-Doctorate) aims to harmonize the exit levels of higher education at the European level. The system is based on three levels: the license, corresponding to Bac+3, the master to Bac+5, and the doctorate to Bac+8. The conversion of existing diplomas according to the LMD grid is being gradually implemented in France and is deemed essential by the actors surveyed. Therefore, if a segmentation according to the diploma level or the duration of the study cycle were to be considered, it should be done according to the LMD classification.</w:t>
      </w:r>
    </w:p>
    <w:p>
      <w:r>
        <w:t>29. However, the parties were unable to provide their market shares in the License (Bac+3) and Master (Bac+5) segments in which they are present, as their own diplomas have not always been converted and statistics regarding student enrollments by field are not yet available according to this classification. They estimated their market shares between the so-called short fields (Bac+2) and the longer fields (Bac+3 to Bac+5).</w:t>
      </w:r>
    </w:p>
    <w:p>
      <w:r>
        <w:t>30. In this case, the market for initial training by field of training will be analyzed according to whether it is a long training (Bac+3 and beyond) or short training (Bac+2).</w:t>
      </w:r>
    </w:p>
    <w:p>
      <w:r>
        <w:rPr>
          <w:b/>
        </w:rPr>
        <w:t>[Pages 7–9]</w:t>
      </w:r>
    </w:p>
    <w:p>
      <w:r>
        <w:t xml:space="preserve">d) Segmentation between public education and private higher education  </w:t>
        <w:br/>
        <w:t xml:space="preserve">31. The parties emphasize that competition is fierce between public and private actors and that students consider all training options available to them regardless of the status of the institution.  </w:t>
        <w:br/>
        <w:t xml:space="preserve">32. However, the Competition Authority considers that a substantial and lasting price gap between products or services is an indication of non-substitutability and non-belonging to the same market. A price gap can be the cause or the consequence of the absence of substitutability.  </w:t>
        <w:br/>
        <w:t xml:space="preserve">33. The parties estimate that the average tuition fees for an initial training cycle in the private education sector amount to 5,097 euros per year per student. By comparison, the amount of registration fees for a university training program was, in 2009, 171 euros for a bachelor's degree, 231 euros for a master's degree, and 350 euros for a doctorate.  </w:t>
        <w:br/>
        <w:t xml:space="preserve">34. The market test indicated that a significant portion of high school graduates dismiss the programs offered by private education solely due to tuition fees.  </w:t>
        <w:br/>
        <w:t xml:space="preserve">35. Furthermore, private higher education is perceived by some applicants as being of higher quality in terms of how it supports the student, tracks their progress, and teaches them more professional knowledge that is less theoretical than at university. These specificities mean that certain families, particularly in the Commerce/Management sector, almost automatically turn to the private sector, according to the market test. This perception would be reinforced by the failure rates reported by universities, with 50% of first-year enrollees failing by the end of their first two semesters.  </w:t>
        <w:br/>
        <w:t xml:space="preserve">36. However, identifying the actors that fall under the private sector is difficult due to the heterogeneous legal statuses (public law institutions, associative structures, consular entities, private law companies, etc.) and situations (recognition or not by the State, accreditation or not of the diplomas awarded, public funding, etc.). The perception of applicants is also very vague. Consequently, the only criterion of the level of tuition fees will be retained, distinguishing on the one hand the higher education provided by universities (including IUTs) and public high schools (preparatory classes for grandes écoles, sections for higher technicians) from the rest of higher education.  </w:t>
        <w:br/>
        <w:t xml:space="preserve">2. THE CONTINUING PROFESSIONAL TRAINING MARKET  </w:t>
        <w:br/>
        <w:t xml:space="preserve">37. National decision-making practice has considered delineating the continuing professional training market according to intervention sectors while leaving the precise definition of these market segments open.  </w:t>
        <w:br/>
        <w:t xml:space="preserve">38. The Competition Council, in its opinion No. 08-A-10 of June 18, 2008, regarding a request for an opinion submitted by the Federation of Professional Training (FFP), emphasizes the great diversity of actors and situations in the professional training market. Thus, "45,777 training establishments have effectively carried out professional training activities, representing a total turnover of 8.8 billion euros. Individual providers, although numerically significant in the market (30%), only account for a small share, about 4%. 13,500 establishments, or about a quarter of the total organizations operating in the sector, have teaching or training as their main activity (+2.1%). In 2004, these 13,500 operators generated a turnover of 5.4 billion euros. They thus represent 60% of the total market turnover. Organizations belonging to the public and assimilated sector, including regional structures of the AFPA and those under the Ministry of National Education, represent only 6% of these establishments, but they account for 21% of their total turnover." The data for the year 2009 follows the same trend;  </w:t>
        <w:br/>
        <w:t xml:space="preserve">39. Continuing professional training responds to specific financing modalities. The Competition Council recalls that "all companies are subject to the obligation of professional training, which they can fulfill in multiple ways: through internal actions, through agreements concluded with freely chosen training organizations, through agreements concluded with an approved joint collecting organization (OPCA), through financing training centers for the unemployed, or commitments to develop training. Failing this, the company fulfills its obligations by making a payment to the public treasury." In this context, public and semi-public organizations do not have a legal monopoly in continuing education, as the Competition Council has recalled.  </w:t>
        <w:br/>
        <w:t xml:space="preserve">40. Given the organizational and financing particularities of the sector, a continuing professional training market by area of intervention, encompassing both private and public providers, can be envisaged.  </w:t>
        <w:br/>
        <w:t xml:space="preserve">* * *  </w:t>
        <w:br/>
        <w:t xml:space="preserve">41. However, in the absence of a competitive issue, the question of the exact delineation of the training markets may remain open in the context of this decision.  </w:t>
        <w:br/>
        <w:t xml:space="preserve">B. GEOGRAPHICAL MARKETS  </w:t>
        <w:br/>
        <w:t xml:space="preserve">1. MARKETS FOR INITIAL TRAINING AND ALTERNATING TRAINING  </w:t>
        <w:br/>
        <w:t xml:space="preserve">42. The parties consider that the markets for initial training and alternating training are of national dimension. While a national delineation may be retained for the highly selective segments of the higher education market (grandes écoles, etc.), the situation appears different for other market segments.  </w:t>
        <w:br/>
        <w:t xml:space="preserve">43. The analyses conducted among the public interested in short training show that attachment to the geographical environment of origin is one of the criteria for students' choices among the institutions offering the desired specialty. For example, in 2002-2003, four out of five high school graduates did not change academies when entering IUT. A study on high school graduates shows that "to inform themselves about the different sectors, high school students prefer open house days or meetings with higher education institutions, which have multiplied in recent years and allow high school students to get a more concrete idea of the training offered: more than four new graduates out of ten participated in such events. They are mentioned even more often than magazines or brochures, distributed particularly in the context of numerous orientation forums and fairs, which remain very used sources of information, particularly by general high school graduates. The search for information on the Internet is gaining importance, but it still plays only a marginal role, cited by one in ten new graduates." It emerges from the instruction that no graduate is more than 150 to 200 km away from a higher education institution for the vast majority of the training offered.  </w:t>
        <w:br/>
        <w:t xml:space="preserve">44. The parties argue that the choice of a long program (Bac+4/5), such as a Master's degree, is a significant investment for which geographical proximity is not a determining choice criterion. The geographical delineation of the long training market would therefore be national.  </w:t>
        <w:br/>
        <w:t xml:space="preserve">45. The influence of the student's geographical origin in their orientation choices raises questions about an infranational delineation of the private higher education training market. In this case, the analysis will be conducted at both the national and infranational levels, covering the academies of Nantes, Rennes, and Caen, without the need to resolve this question in the context of this operation.  </w:t>
        <w:br/>
        <w:t xml:space="preserve">2. THE CONTINUING PROFESSIONAL TRAINING MARKET  </w:t>
        <w:br/>
        <w:t xml:space="preserve">46. The main operators of professional training being national, national decision-making practice has considered a national delineation of the professional training market while leaving the question open.  </w:t>
        <w:br/>
        <w:t>47. It is worth questioning the relevance of a more restricted geographical delineation on the grounds that certain employment basins have specific training needs (tourist areas, etc.) and that the training demand from small and medium-sized enterprises is more likely to consider training offers at the local level. However, the question of an infranational dimension of the professional training markets may nevertheless be left open in the context of this decision.</w:t>
      </w:r>
    </w:p>
    <w:p>
      <w:r>
        <w:rPr>
          <w:b/>
        </w:rPr>
        <w:t>[Pages 10–12]</w:t>
      </w:r>
    </w:p>
    <w:p>
      <w:r>
        <w:t xml:space="preserve">III. Competitive Analysis  </w:t>
        <w:br/>
        <w:t xml:space="preserve">A. MARKETS FOR FULL-TIME AND ALTERNATING INITIAL TRAINING  </w:t>
        <w:br/>
        <w:t xml:space="preserve">48. The competitive analysis will rely on data expressed in volume (student numbers). The highly selective business/management schools are likely to constitute their own market segment in which the parties are not present; their annual enrollments will be excluded from those of the Commerce/Management sector for the competitive analysis, which is the most unfavorable hypothesis for the parties.  </w:t>
        <w:br/>
        <w:t xml:space="preserve">49. In the national markets for initial and alternating training provided by private educational institutions, the operation leads to overlaps in the areas of Commerce/Management, Tourism/Hospitality/Reception, and Health/Paramedical. The market shares have been estimated by the parties based on their annual enrollments compared to the available national statistics:  </w:t>
        <w:br/>
        <w:t xml:space="preserve">Type of Sector  </w:t>
        <w:br/>
        <w:t xml:space="preserve">Commerce/Management28 Medical/Paramedical Tourism/Hospitality/Reception  </w:t>
        <w:br/>
        <w:t xml:space="preserve">Bac+3 and Bac+3 and Bac+3 and  </w:t>
        <w:br/>
        <w:t xml:space="preserve">Bac+2 Bac+2 Bac+2  </w:t>
        <w:br/>
        <w:t xml:space="preserve">plus plus plus  </w:t>
        <w:br/>
        <w:t xml:space="preserve">Initial 8% &lt;1% 1% - 18% -  </w:t>
        <w:br/>
        <w:t xml:space="preserve">CFC  </w:t>
        <w:br/>
        <w:t xml:space="preserve">Alternating 4.8% &lt;1% - - - -  </w:t>
        <w:br/>
        <w:t xml:space="preserve">Initial 1.8% &lt;1% &lt;1% - 1.9% -  </w:t>
        <w:br/>
        <w:t xml:space="preserve">Forteam  </w:t>
        <w:br/>
        <w:t xml:space="preserve">Alternating 2.3% &lt;1% &lt;1% - &lt;1% -  </w:t>
        <w:br/>
        <w:t xml:space="preserve">Initial 9.8% &lt;2% &lt;1% - 19.9% -  </w:t>
        <w:br/>
        <w:t xml:space="preserve">CFC +  </w:t>
        <w:br/>
        <w:t xml:space="preserve">Forteam  </w:t>
        <w:br/>
        <w:t xml:space="preserve">Alternating 7.1% &lt;2% - - - -  </w:t>
        <w:br/>
        <w:t xml:space="preserve">50. In the market for initial training in Tourism/Hospitality/Reception at the Bac+2 level, the new entity will have a market share of 19.9% after the operation. It will continue to face competition from many other private schools such as the Institut Européen de Formation au Tourisme (IEFT), Le Cordon Bleu, the Institut Paul Bocuse (IPB), or the Vatel school. In the other market segments considered, the positions acquired after the operation are limited.  </w:t>
        <w:br/>
        <w:t xml:space="preserve">51. If one considers a geographically restricted market to the western region encompassing the enrollments of the Nantes, Rennes, and Caen academies, the operation would result in overlaps only in Bac+2 level training in Commerce/Management and Tourism/Hospitality/Reception, with the following market shares:  </w:t>
        <w:br/>
        <w:t xml:space="preserve">28 Excluding business schools.  </w:t>
        <w:br/>
        <w:t xml:space="preserve">Type of Sector  </w:t>
        <w:br/>
        <w:t xml:space="preserve">Commerce/Management29 Tourism/Hospitality/Reception  </w:t>
        <w:br/>
        <w:t xml:space="preserve">Bac+2 Bac+3 and more Bac+2 Bac+3 and more  </w:t>
        <w:br/>
        <w:t xml:space="preserve">Initial 2% - 8.1% -  </w:t>
        <w:br/>
        <w:t xml:space="preserve">CFC  </w:t>
        <w:br/>
        <w:t xml:space="preserve">Alternating 2.9% - - -  </w:t>
        <w:br/>
        <w:t xml:space="preserve">Initial 11% 11.8% 6.3% -  </w:t>
        <w:br/>
        <w:t xml:space="preserve">Forteam  </w:t>
        <w:br/>
        <w:t xml:space="preserve">Alternating 16.7% 7.2% 7% -  </w:t>
        <w:br/>
        <w:t xml:space="preserve">Initial 13% - 14.4% -  </w:t>
        <w:br/>
        <w:t xml:space="preserve">CFC +  </w:t>
        <w:br/>
        <w:t xml:space="preserve">Forteam  </w:t>
        <w:br/>
        <w:t xml:space="preserve">Alternating 19.6% - - -  </w:t>
        <w:br/>
        <w:t xml:space="preserve">52. Regarding Bac+2 training in Tourism and Commerce/Management, the new entity will have market shares between 13% and 19.6% of the regional student enrollments in the private sector, and it will continue to face competition from many private high schools that prepare students for BTS in these two fields.  </w:t>
        <w:br/>
        <w:t xml:space="preserve">53. In the Commerce/Management sector, the region has several schools offering Bac+2 level diplomas such as Enacom (Ecole Nantaise de Commerce), Ensec (Ecole Supérieure d’enseignement commercial), or the schools of the RISE group (Réseau des Instituts Supérieurs de l’Entreprise) in Nantes and Rennes.  </w:t>
        <w:br/>
        <w:t xml:space="preserve">B. MARKETS FOR CONTINUING PROFESSIONAL TRAINING  </w:t>
        <w:br/>
        <w:t xml:space="preserve">54. Forteam and CFC are simultaneously present in the market for continuing professional training in "commerce/management." However, this activity concerns less than 5% of their annual enrollments, and their combined market shares are below 1% in a national market. The conclusion would be the same in a more restricted market given the high atomicity of the market and the geographical location of the parties' schools.  </w:t>
        <w:br/>
        <w:t xml:space="preserve">* * *  </w:t>
        <w:br/>
        <w:t xml:space="preserve">55. The present operation is not likely to harm competition in either the markets for initial or alternating training or in those for continuing professional training.  </w:t>
        <w:br/>
        <w:t xml:space="preserve">29 Excluding business schools.  </w:t>
        <w:br/>
        <w:t xml:space="preserve">DECIDES  </w:t>
        <w:br/>
        <w:t xml:space="preserve">Single Article: The operation notified under number 10-0089 is authorized.  </w:t>
        <w:b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