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https://www.autoritedelaconcurrence.fr/fr/decision-de-controle-des-concentrations/relative-la-prise-de-controle-exclusif-des-societes-lafay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25-DCC-144 of June 23, 2025  </w:t>
        <w:br/>
        <w:t xml:space="preserve">regarding the exclusive control acquisition of the companies Lafay and  </w:t>
        <w:br/>
        <w:t xml:space="preserve">Garage Paul Mathieu by the company C.F.T.  </w:t>
        <w:br/>
        <w:t xml:space="preserve">The Competition Authority,  </w:t>
        <w:br/>
        <w:t xml:space="preserve">Having regard to the complete notification file sent to the mergers department on May 16, 2025,  </w:t>
        <w:br/>
        <w:t xml:space="preserve">concerning the exclusive control acquisition of the companies Lafay and Garage Paul Mathieu by the company  </w:t>
        <w:br/>
        <w:t xml:space="preserve">C.F.T., formalized by a letter of intent signed on December 20,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C.F.T. of the companies Lafay and Garage  </w:t>
        <w:br/>
        <w:t xml:space="preserve">Paul Mathieu, active in the automotive distribution markets in Loire (42), Rhône (69), and Saône-et-Loire (71). This operation constitutes a concentration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II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25-134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