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https://www.autoritedelaconcurrence.fr/fr/decision-de-controle-des-concentrations/relative-la-prise-de-controle-exclusif-des-societes-lbc</w:t>
      </w:r>
    </w:p>
    <w:p>
      <w:r>
        <w:t>Pages translated : 2</w:t>
      </w:r>
    </w:p>
    <w:p/>
    <w:p>
      <w:r>
        <w:rPr>
          <w:b/>
        </w:rPr>
        <w:t>[Pages 1–2]</w:t>
      </w:r>
    </w:p>
    <w:p>
      <w:r>
        <w:t xml:space="preserve">FRENCH REPUBLIC  </w:t>
        <w:br/>
        <w:t xml:space="preserve">Decision No. 17-DCC-79 of June 6, 2017  </w:t>
        <w:br/>
        <w:t xml:space="preserve">regarding the exclusive control acquisition of the companies LBC France Holding, LBC Tanquipor, and LBC Sogestrol by the company InfraVia Capital Partners  </w:t>
        <w:br/>
        <w:t xml:space="preserve">The Competition Authority,  </w:t>
        <w:br/>
        <w:t xml:space="preserve">Having regard to the complete notification file submitted to the mergers department on May 11, 2017, concerning the exclusive control acquisition of the companies LBC France Holding, LBC Tanquipor, and LBC Sogestrol by the company InfraVia Capital Partners, formalized by two transfer agreements dated April 21, 2017;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InfraVia Capital Partners of the companies LBC France Holding, LBC Tanquipor, and LBC Sogestrol, which are active in the liquid bulk storage sector in Europe.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17-075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