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11-DCC-213 of December 29, 2011  </w:t>
        <w:br/>
        <w:t xml:space="preserve">regarding the exclusive control acquisition of the companies Le Tuilot and Sodiper  </w:t>
        <w:br/>
        <w:t xml:space="preserve">by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9, 2011, concerning the exclusive control acquisition of the company Le Tuilot and its subsidiary  </w:t>
        <w:br/>
        <w:t xml:space="preserve">Sodiper by ITM Entreprises, materialized by a share transfer agreement dated  </w:t>
        <w:br/>
        <w:t xml:space="preserve">December 6,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Le Tuilot and its  </w:t>
        <w:br/>
        <w:t xml:space="preserve">subsidiary Sodiper, which operates a sales outlet of 3,027 m² predominantly food-related under  </w:t>
        <w:br/>
        <w:t xml:space="preserve">the Intermarché brand in the town of Mortagne au Perche (61), by the company ITM Entreprises  </w:t>
        <w:br/>
        <w:t xml:space="preserve">and constitutes a concentration operation within the meaning of Article L. 430-1 of the Commercial Code.  </w:t>
        <w:br/>
        <w:t xml:space="preserve">Given the turnover achieved by the companies concerned, the operation does not have a community dimension.  </w:t>
        <w:br/>
        <w:t xml:space="preserve">On the other hand, the control thresholds related to retail trade mentioned in point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11-241 is authorized.  </w:t>
        <w:br/>
        <w:t xml:space="preserve">The Vice-President,  </w:t>
        <w:br/>
        <w:t xml:space="preserve">Françoise Aubert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