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https://www.autoritedelaconcurrence.fr/fr/decision-de-controle-des-concentrations/relative-la-prise-de-controle-exclusif-des-societes-leader</w:t>
      </w:r>
    </w:p>
    <w:p>
      <w:r>
        <w:t>Pages translated : 6</w:t>
      </w:r>
    </w:p>
    <w:p/>
    <w:p>
      <w:r>
        <w:rPr>
          <w:b/>
        </w:rPr>
        <w:t>[Pages 1–3]</w:t>
      </w:r>
    </w:p>
    <w:p>
      <w:r>
        <w:t xml:space="preserve">FRENCH REPUBLIC  </w:t>
        <w:br/>
        <w:t xml:space="preserve">Decision No. 15-DCC-17 of March 3, 2015  </w:t>
        <w:br/>
        <w:t>regarding the exclusive control of the companies Leader Centre Gestion and Europrice by the Casino group</w:t>
      </w:r>
    </w:p>
    <w:p>
      <w:r>
        <w:t xml:space="preserve">The Competition Authority,  </w:t>
        <w:br/>
        <w:t xml:space="preserve">Having regard to the notification file submitted in full to the merger service on January 28, 2015, regarding the exclusive control of the companies Leader Centre Gestion and Europrice by the Casino group, formalized by a letter of option exercise dated January 19, 2015;  </w:t>
        <w:br/>
        <w:t xml:space="preserve">Having regard to Book IV of the Commercial Code relating to price freedom and competition, and in particular its Articles L. 430-1 to L. 430-7;  </w:t>
        <w:br/>
        <w:t>Adopts the following decision:</w:t>
      </w:r>
    </w:p>
    <w:p>
      <w:r>
        <w:t xml:space="preserve">I. The concerned companies and the operation  </w:t>
        <w:br/>
        <w:t xml:space="preserve">1. The companies Retail Leader Price Investment (hereinafter "RLPI") and Franprix Leader Price Holding (hereinafter "FPLPH") are subsidiaries of the Casino Guichard Perrachon group (hereinafter "Casino") and their main purpose is to acquire stakes in companies operating stores under the Franprix and Leader Price brands. The Casino group, the third largest player in the French food distribution sector, manages a network of over 14,000 stores worldwide (hypermarkets, supermarkets, convenience stores, popular stores, discount stores) notably under the brands Géant Casino, Franprix, Casino Supermarché, Petit Casino, Casino Shop, Casino Shopping, Spar, Vival, Monoprix, and Leader Price. It is also present in the online distribution sector of non-food products with the brand Cdiscount. The Casino group is controlled by the company Euris, which is itself controlled by Mr. Jean-Charles Naouri.  </w:t>
        <w:br/>
        <w:t xml:space="preserve">2. The company Leader Centre Gestion (hereinafter "LCG") operates, through 14 operating companies, 24 retail stores with a food focus under the Leader Price brand.  </w:t>
        <w:br/>
        <w:t>These stores are located in Ambazac (87), Saint-Junien (87), La Souterraine (23), Saint Leonard de Noblat (87), Guéret (23), Limoges (87), Le Vigen (87), Limoges (87), Bergerac (24), Sarlat-La-Caneda (24), Montignac (24), Figeac (46), Brive Charensac (43), Unieux (42), Mont Dore (63), Saint Céré (46), Issoudun (36), Thiviers (24), Villefranche sur Saône (69), Brive La Gaillarde (19), Bort les Orgues (19), Malemort sur Correze (19), Couzeux (87), and Panazol (87).</w:t>
      </w:r>
    </w:p>
    <w:p>
      <w:r>
        <w:t xml:space="preserve">LCG is jointly controlled by RLPI and DC Développement, a subsidiary of the company Nougein: RLPI holds 49% of the capital and voting rights of LCG while DC Développement holds 51%. The company Europrice operates, for its part, through 4 operating companies, 12 retail stores with a food focus under the Leader Price brand. Europrice is 99.99% controlled by the company Nougein.  </w:t>
        <w:br/>
        <w:t xml:space="preserve">3. The operation is formalized by a letter dated January 19, 2015, in which the companies Nougein and DC Développement notified the exercise of their put options concerning their entire participation in LCG and Europrice in favor of RLPI and FPLPH, respectively. As a result of the operation, the Casino group will thus hold the entirety of the capital and voting rights of the companies LCG and Europrice. Insofar as it results in the exclusive control of LCG and Europrice by the Casino group, the operation constitutes a concentration within the meaning of Article L. 430-1 of the Commercial Code.  </w:t>
        <w:br/>
        <w:t>4. The concerned companies together achieve a total worldwide turnover of over 150 million euros (Casino group: 48.6 billion euros for the fiscal year ending December 31, 2013; LCG and Europrice: […] euros for the same fiscal year). They achieve in France, in the retail sector, a turnover exceeding 15 million euros (Casino group: 19.5 billion euros for the fiscal year ending December 31, 2013; LCG and Europrice: […] euros for the same fiscal year). Given these turnover figures, the operation does not fall under the jurisdiction of the European Union. However, the control thresholds mentioned in I of Article L. 430-2 of the Commercial Code are exceeded. The operation is therefore subject to the provisions of Articles L. 430-3 and following of the Commercial Code relating to economic concentration.</w:t>
      </w:r>
    </w:p>
    <w:p>
      <w:r>
        <w:t xml:space="preserve">II. Definition of relevant markets  </w:t>
        <w:br/>
        <w:t xml:space="preserve">5. The markets concerned by the operation fall within the food distribution sector.  </w:t>
        <w:br/>
        <w:t>6. According to the consistent practice of national and European competition authorities, two categories of markets can be delineated in the food distribution sector: upstream markets for the supply of consumer goods and downstream markets for food retail distribution.</w:t>
      </w:r>
    </w:p>
    <w:p>
      <w:r>
        <w:t xml:space="preserve">A. UPSTREAM SUPPLY MARKETS  </w:t>
        <w:br/>
        <w:t xml:space="preserve">1. PRODUCT MARKETS  </w:t>
        <w:br/>
        <w:t xml:space="preserve">7. Regarding supply markets, the European Commission has identified the existence of markets of national dimension by major product groups, a delineation followed by national authorities.  </w:t>
        <w:br/>
        <w:t xml:space="preserve">8. There is no reason to challenge this delineation on the occasion of the present operation.  </w:t>
        <w:br/>
        <w:t xml:space="preserve">2. GEOGRAPHIC MARKETS  </w:t>
        <w:br/>
        <w:t xml:space="preserve">9. From a geographic standpoint, the consistent decision-making practice of competition authorities considers that supply markets are of national dimension.  </w:t>
        <w:br/>
        <w:t>10. There is no reason to challenge the decision-making practice within the framework of the present operation.</w:t>
      </w:r>
    </w:p>
    <w:p>
      <w:r>
        <w:t xml:space="preserve">B. DOWNSTREAM DISTRIBUTION MARKETS  </w:t>
        <w:br/>
        <w:t xml:space="preserve">1. PRODUCT MARKETS  </w:t>
        <w:br/>
        <w:t xml:space="preserve">11. The decision-making practice distinguishes six categories of retail trade of everyday consumer goods, using several criteria, including store size, sales techniques, accessibility, the nature of the service provided, and the range of products offered: (i) hypermarkets (stores with a food focus with a legal sales area greater than 2,500 m²), (ii) supermarkets (between 400 and 2,500 m²), (iii) specialized trade, (iv) small retail businesses (less than 400 m²), (v) maxi-discount stores, and (vi) mail order sales.  </w:t>
        <w:br/>
        <w:t>12. However, the decision-making practice specifies that the size thresholds should be used with caution and may be adapted to the specific case, as stores whose size is near a threshold, either below or above, may find themselves in direct competition with stores of another category. Competition authorities consider that, while each category of store retains its specificity, there is asymmetric competition between certain of these categories. For the provinces, they thus distinguish: (i) a market comprising only hypermarkets, and (ii) a market comprising supermarkets and discount stores.</w:t>
      </w:r>
    </w:p>
    <w:p>
      <w:r>
        <w:rPr>
          <w:b/>
        </w:rPr>
        <w:t>[Pages 4–6]</w:t>
      </w:r>
    </w:p>
    <w:p>
      <w:r>
        <w:t xml:space="preserve">equivalent forms of commerce (hypermarkets, hard-discount, and popular stores) except for small retail businesses (less than 400 m²).  </w:t>
        <w:br/>
        <w:t xml:space="preserve">13. In this case, the stores involved in the operation are predominantly food retail businesses with a sales area greater than 400 m² but less than 2,500 m² (supermarkets). The operation will therefore be analyzed in the market of supermarkets and equivalent forms of commerce.  </w:t>
        <w:br/>
        <w:t xml:space="preserve">2. GEOGRAPHIC MARKETS  </w:t>
        <w:br/>
        <w:t xml:space="preserve">14. The competition authorities have examined the effects of concentrations in the predominantly food retail sector at the local level, corresponding to the catchment area associated with each store and whose extent depends on the travel time for the consumer.  </w:t>
        <w:br/>
        <w:t xml:space="preserve">15. The Competition Authority emphasized that, for stores with an area greater than 400 m², the conditions of competition are assessed in two different areas:  </w:t>
        <w:br/>
        <w:t xml:space="preserve">- a first market where the demand from consumers in one area meets the supply of hypermarkets that they can access within less than 30 minutes of travel by car and which are, from their perspective, substitutable with each other, and  </w:t>
        <w:br/>
        <w:t xml:space="preserve">- a second market where the demand from consumers meets the supply of supermarkets and equivalent forms of commerce located within less than 15 minutes of travel by car. These latter forms of commerce may include, in addition to supermarkets, hypermarkets located near consumers and discount stores.  </w:t>
        <w:br/>
        <w:t xml:space="preserve">16. The Authority considers that the competitive analysis only pertains to the second market when the target store is a supermarket, the first market being taken into account only when the target store is a hypermarket.  </w:t>
        <w:br/>
        <w:t xml:space="preserve">17. The Authority, however, consistently specifies that these delineations may evolve on a case-by-case basis, depending on the characteristics of the local area, since other criteria may be taken into account to assess the impact of a concentration on the competitive situation in retail distribution markets, which may lead to refining, in the specific case, the usual delineations presented above.  </w:t>
        <w:br/>
        <w:t xml:space="preserve">18. The analysis will therefore focus on the areas including the target supermarkets and competing stores located within less than 15 minutes of travel by car.  </w:t>
        <w:br/>
        <w:t xml:space="preserve">10 See the decisions of the Competition Authority n° 12-DCC-63, n°13-DCC-90 and n°14-DCC-173 cited above.  </w:t>
        <w:br/>
        <w:t>11 See decision n°14-DCC-173 cited above.</w:t>
      </w:r>
    </w:p>
    <w:p>
      <w:r>
        <w:t xml:space="preserve">III. Competitive Analysis  </w:t>
        <w:br/>
        <w:t xml:space="preserve">A. ANALYSIS OF THE EFFECTS OF THE OPERATION ON UPSTREAM MARKETS FOR CONSUMER PRODUCTS  </w:t>
        <w:br/>
        <w:t xml:space="preserve">19. The 36 target stores represent, in 2013, less than [0-5]% of the revenue generated in France by the entire food distribution activity of the Casino group. The acquisition of LCG and Europrice is therefore not likely to significantly strengthen the purchasing power of the Casino group in the overall supply market, including in the supply markets segmented by major product groups. The strengthening of the Casino group in these markets following the operation will be all the more marginal as, prior to the operation, the stores subject to the operation were already under the Leader Price brand and were already sourcing predominantly from the Casino group.  </w:t>
        <w:br/>
        <w:t xml:space="preserve">B. ANALYSIS OF THE EFFECTS OF THE OPERATION ON DOWNSTREAM MARKETS FOR FOOD-FOCUSED RETAIL  </w:t>
        <w:br/>
        <w:t xml:space="preserve">20. The operation results in an overlap of activities in the following 25 catchment areas: Allassac (19), Ambazac (87), Aurillac (15), Bergerac (24), Boulazac (24), Brive-la-Gaillarde (Cartier) (19), Brive-la-Gaillarde (Pompidou) (19), Cahors (46), Couzeix (87), Gourdon (46), Guéret (23), Le Vigen (87), Limoges (Beaubreuil) (87), Limoges (Pierre et Marie Curie) (87), Malemort-sur-Corrèze (19), Marsac-sur-l’Isle (24), Montignac (24), Objat (19), Panazol (87), Sarlat (24), Saint-Flour (15), Saint-Junien (87), Villefranche-sur-Saône (69), Brives-Charensac (43), Unieux (42).  </w:t>
        <w:br/>
        <w:t xml:space="preserve">21. In 19 of these areas, the cumulative market share of the notifying party will remain below 35% following the operation. In five of the six remaining areas, the position of the Casino group will be between 35% and 45%: Aurillac (15), Brive-la-Gaillarde (19), Brives-Charensac (43), Malemort-sur-Corrèze (19), and Villefranche-sur-Saône (69). However, Casino will continue to face significant competitive pressure from at least three competing brands holding the majority of the stores present locally in each of these areas. Therefore, the operation is not likely to harm competition in all of these areas.  </w:t>
        <w:br/>
        <w:t xml:space="preserve">22. Finally, in the Unieux (42) area, the market share of the Casino group will rise to [40-50]%, although the operation will only result in a very moderate market share increment ([0-5]%). In this area, the new entity will also face competition from four national food distribution groups (Carrefour, Intermarché, Leclerc, and Lidl). Furthermore, it is important to consider the competitive pressure exerted by an Auchan hypermarket located in Saint-Etienne, as this store, with a much larger area than the stores located in the relevant area, is situated less than 5 minutes from the edge of the catchment area. The proximity and size of this store indeed contribute to the competitive constraint that will weigh on Casino following the operation. Taking this additional store into account, Casino will represent only [30-40]% of the areas in the zone following the operation.  </w:t>
        <w:br/>
        <w:t xml:space="preserve">23. In light of the above, the operation is therefore not likely to harm competition in the downstream markets for food-focused retail.  </w:t>
        <w:br/>
        <w:t xml:space="preserve">DECIDES  </w:t>
        <w:br/>
        <w:t xml:space="preserve">Single Article: The operation notified under number 14-229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