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https://www.autoritedelaconcurrence.fr/fr/decision-de-controle-des-concentrations/relative-la-prise-de-controle-exclusif-des-societes-libaud</w:t>
      </w:r>
    </w:p>
    <w:p>
      <w:r>
        <w:t>Pages translated : 7</w:t>
      </w:r>
    </w:p>
    <w:p/>
    <w:p>
      <w:r>
        <w:rPr>
          <w:b/>
        </w:rPr>
        <w:t>[Pages 1–3]</w:t>
      </w:r>
    </w:p>
    <w:p>
      <w:r>
        <w:t xml:space="preserve">FRENCH REPUBLIC  </w:t>
        <w:br/>
        <w:t xml:space="preserve">Decision No. 18-DCC-25 of February 20, 2018  </w:t>
        <w:br/>
        <w:t>regarding the exclusive control of the companies Libaud Négoce Matériaux and Avis Matériaux by the company Chausson Matériaux</w:t>
      </w:r>
    </w:p>
    <w:p>
      <w:r>
        <w:t xml:space="preserve">The Competition Authority,  </w:t>
        <w:br/>
        <w:t xml:space="preserve">Having regard to the notification file submitted in full to the merger service on January 17, 2018, regarding the exclusive control of the companies Libaud Négoce Matériaux and Avis Matériaux (hereinafter "Libaud" and "Avis," or collectively "the target companies") by the company Chausson Matériaux (hereinafter "Chausson Matériaux") through a memorandum of understanding dated November 15, 2017;  </w:t>
        <w:br/>
        <w:t xml:space="preserve">Having regard to Book IV of the Commercial Code relating to the freedom of prices and competition, and in particular its Articles L. 430-1 to L. 430-7;  </w:t>
        <w:br/>
        <w:t xml:space="preserve">Having regard to the supplementary elements transmitted by the notifying party during the investigation;  </w:t>
        <w:br/>
        <w:t>Adopts the following decision:</w:t>
      </w:r>
    </w:p>
    <w:p>
      <w:r>
        <w:t xml:space="preserve">I. The concerned companies and the operation  </w:t>
        <w:br/>
        <w:t xml:space="preserve">1. Chausson Matériaux is a company active in the trade of construction materials, and more marginally in the prefabrication of concrete blocks and the marketing of ready-mixed concrete. It operates in France 283 generalist agencies and 71 specialist agencies. Chausson Matériaux is also present in the upstream markets of ready-mixed concrete manufacturing (11 plants), concrete blocks (8 factories), and wooden structures. Chausson Matériaux is controlled by the Chausson family.  </w:t>
        <w:br/>
        <w:t>2. The target companies are two subsidiaries of the company Établissements Libaud. Their main activity is the trade of construction materials through 23 generalist agencies and one specialist agency located in the departments of Charente Maritime (17), Côtes d’Armor (22), and Vendée (85). Avis is also active in the manufacturing and marketing of concrete products (1 factory) and ready-mixed concrete (1 plant).</w:t>
      </w:r>
    </w:p>
    <w:p>
      <w:r>
        <w:t xml:space="preserve">3. The operation, formalized by a memorandum of understanding dated November 15, 2017, involves the acquisition by Chausson Matériaux of the entire share capital of the target companies. As it results in the exclusive control of the target companies by Chausson Matériaux, the notified operation constitutes a concentration operation within the meaning of Article L. 430-1 of the Commercial Code.  </w:t>
        <w:br/>
        <w:t>4. The companies concerned together achieve a total worldwide turnover of more than 150 million euros (Chausson Matériaux: [...] euros for the fiscal year ending December 31, 2016; the target companies: [...] euros for the same fiscal year). At least two of these companies have achieved a turnover of more than 50 million euros in France (Chausson Matériaux: [...] euros for the fiscal year ending December 31, 2016; the target companies: [...] euros for the same fiscal year).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 xml:space="preserve">5. The parties are simultaneously active primarily in the sector of distribution of construction materials intended for professionals. In this sector, the parties are present both upstream, as buyers of materials from manufacturers, and downstream, in the market for the trade of construction materials.  </w:t>
        <w:br/>
        <w:t xml:space="preserve">A. UPSTREAM MARKETS FOR THE SUPPLY OF CONSTRUCTION MATERIALS  </w:t>
        <w:br/>
        <w:t xml:space="preserve">1. PRODUCT MARKETS  </w:t>
        <w:br/>
        <w:t xml:space="preserve">6. The parties purchase construction materials from various producers which they distribute to professionals in the sector.  </w:t>
        <w:br/>
        <w:t xml:space="preserve">7. Regarding the supply of construction materials, the decision-making practice of competition authorities distinguishes as many markets as there are families of products. Indeed, the structure of the offer, the pricing dynamics, or even the manufacturing constraints can vary significantly from one product family to another.  </w:t>
        <w:br/>
        <w:t>8. In this case, the products simultaneously distributed by the parties belong to the following families:</w:t>
      </w:r>
    </w:p>
    <w:p>
      <w:r>
        <w:t xml:space="preserve">- structural work and masonry;  </w:t>
        <w:br/>
        <w:t xml:space="preserve">- roofing and waterproofing;  </w:t>
        <w:br/>
        <w:t xml:space="preserve">- wood and panels;  </w:t>
        <w:br/>
        <w:t xml:space="preserve">- interior and exterior joinery;  </w:t>
        <w:br/>
        <w:t xml:space="preserve">- plastering-ceilings-insulation;  </w:t>
        <w:br/>
        <w:t xml:space="preserve">- tools and hardware;  </w:t>
        <w:br/>
        <w:t xml:space="preserve">- sanitary;  </w:t>
        <w:br/>
        <w:t xml:space="preserve">- heating;  </w:t>
        <w:br/>
        <w:t xml:space="preserve">- tiling;  </w:t>
        <w:br/>
        <w:t>- outdoor arrangements.</w:t>
      </w:r>
    </w:p>
    <w:p>
      <w:r>
        <w:t xml:space="preserve">9. However, it is not necessary to question the exact delimitation of these markets insofar as, regardless of the segmentation chosen, the conclusions of the competitive analysis remain unchanged.  </w:t>
        <w:br/>
        <w:t xml:space="preserve">2. GEOGRAPHICAL MARKETS  </w:t>
        <w:br/>
        <w:t xml:space="preserve">10. Decision-making practice retains at least a national dimension for the markets of supply of construction materials. The European Commission has notably emphasized that, in such markets, competition among the main suppliers, whether it concerns marketing strategy, commercial policy, or the location of points of sale, operates at the national level.  </w:t>
        <w:br/>
        <w:t xml:space="preserve">11. In this case, the analysis will be conducted at the national level, with the conclusions of the competitive analysis remaining unchanged in markets of supranational dimension.  </w:t>
        <w:br/>
        <w:t xml:space="preserve">B. DOWNSTREAM MARKETS FOR THE TRADE OF CONSTRUCTION MATERIALS  </w:t>
        <w:br/>
        <w:t xml:space="preserve">1. PRODUCT MARKETS  </w:t>
        <w:br/>
        <w:t>12. The trade of construction materials is defined as "a traditional activity whereby traders sell from stock all the materials necessary for building companies." This activity consists of wholesaling a wide assortment of materials that, although not substitutable for each other, are nevertheless necessary and often associated to carry out a construction project.</w:t>
      </w:r>
    </w:p>
    <w:p>
      <w:r>
        <w:rPr>
          <w:b/>
        </w:rPr>
        <w:t>[Pages 4–6]</w:t>
      </w:r>
    </w:p>
    <w:p>
      <w:r>
        <w:t>13. The materials thus marketed are primarily intended for professionals, which implies specificities in the organization of product distribution, as well as in the breadth and depth of the ranges of materials offered. This market is thus distinguished from the distribution of DIY equipment, insofar as the offer from traders is mainly aimed at professionals and not individuals, unlike large DIY stores.</w:t>
      </w:r>
    </w:p>
    <w:p>
      <w:r>
        <w:t>14. Within the trade of construction materials, the decision-making practice of the Authority has distinguished between "generalist" traders and "specialist" traders based on the depth of the range of materials distributed. Thus, the offer from "generalist" traders covers a complete assortment of product ranges and is aimed at all actors in the construction sector. The "specialist" traders, whose offer is centered on a family of products, for their part offer deeper ranges and more advanced expertise on specific product lines, targeting more specific professionals. The Authority has, for example, considered that the specialized trade of sanitary-heating-air conditioning products is likely to constitute a distinct market. The question of the existence of a market for specialized tiling trade has also been raised by decision-making practice, although it has not been resolved.</w:t>
      </w:r>
    </w:p>
    <w:p>
      <w:r>
        <w:t>15. In this case, the parties to the transaction are simultaneously present in the generalist trade of construction materials as well as, depending on the points of sale, in the specialist trade of tiling.</w:t>
      </w:r>
    </w:p>
    <w:p>
      <w:r>
        <w:t>16. However, it is not necessary to question the exact delimitation of these markets insofar as, regardless of the segmentation chosen, the conclusions of the competitive analysis remain unchanged.</w:t>
      </w:r>
    </w:p>
    <w:p>
      <w:r>
        <w:t>2. GEOGRAPHICAL MARKETS</w:t>
      </w:r>
    </w:p>
    <w:p>
      <w:r>
        <w:t>17. The decision-making practice of competition authorities considers that the market for the trade of construction materials is of a local dimension, with professionals in the building sector primarily making their purchases close to their area of intervention. In practice, the journeys made by buyers of construction materials vary depending on the degree of specialization of the point of sale concerned. The decision-making practice of competition authorities has thus retained catchment areas with a radius of 50 kilometers from the point of sale for generalist traders and approximately 50 to 75 kilometers from the point of sale for specialist traders.</w:t>
      </w:r>
    </w:p>
    <w:p>
      <w:r>
        <w:t>18. In this case, the notifying party has identified, from each target point of sale, an area corresponding to a journey with a maximum radius of 50 kilometers.</w:t>
      </w:r>
    </w:p>
    <w:p>
      <w:r>
        <w:t>III. Competitive Analysis</w:t>
      </w:r>
    </w:p>
    <w:p>
      <w:r>
        <w:t>A. UPSTREAM MARKETS FOR THE SUPPLY OF CONSTRUCTION MATERIALS</w:t>
      </w:r>
    </w:p>
    <w:p>
      <w:r>
        <w:t>19. In the upstream markets for the supply of construction materials, the new entity will hold a market share of less than [5-10]%, regardless of the segmentation considered.</w:t>
      </w:r>
    </w:p>
    <w:p>
      <w:r>
        <w:t>20. Consequently, the transaction is not likely to harm competition through horizontal effects in these markets.</w:t>
      </w:r>
    </w:p>
    <w:p>
      <w:r>
        <w:t>B. DOWNSTREAM MARKETS FOR THE TRADE OF CONSTRUCTION MATERIALS</w:t>
      </w:r>
    </w:p>
    <w:p>
      <w:r>
        <w:t>21. The catchment areas have been determined according to the method previously described, around each point of sale of the target companies.</w:t>
      </w:r>
    </w:p>
    <w:p>
      <w:r>
        <w:t>22. The transaction results in an overlap of activity between the parties in the catchment areas defined around sixteen points of sale, located in Charente Maritime (17) and Vendée (85).</w:t>
      </w:r>
    </w:p>
    <w:p>
      <w:r>
        <w:t>23. The location of these points of sale is therefore geographically concentrated, which means that, given the surface area of the examined catchment areas, the points of sale of the new entity and their competitors are simultaneously found in several catchment areas.</w:t>
      </w:r>
    </w:p>
    <w:p>
      <w:r>
        <w:t>24. These points of sale are all active in the market for generalist trade of construction materials, except for one point of sale located in Luçon which is active in the market for specialist trade of tiling.</w:t>
      </w:r>
    </w:p>
    <w:p>
      <w:r>
        <w:t>25. Except in the areas of Aytré (17) and St Vivien (17), the estimated market share in value of the new entity is less than [20-30]%. According to point 384 of the guidelines of the Competition Authority, "when the market share of the entity resulting from the transaction is less than 25% in a horizontal concentration [...], the Authority considers that an infringement of competition is unlikely, unless in particular cases."</w:t>
      </w:r>
    </w:p>
    <w:p>
      <w:r>
        <w:t>26. In this case, the transaction is not likely to harm competition through horizontal effects in these markets where the market share of the new entity is limited and where no other circumstances imply a risk of harm to competition.</w:t>
      </w:r>
    </w:p>
    <w:p>
      <w:r>
        <w:t>27. Furthermore, the notifying party has not been able to accurately estimate the market share of the new entity in the local market for specialist trade of tiling. However, it considers that this market share should be limited, given the presence of numerous competing points of sale in the catchment area of the Luçon point of sale.</w:t>
      </w:r>
    </w:p>
    <w:p>
      <w:r>
        <w:t>28. The areas of Luçon (85), Aytré (17), and St Vivien (17) have therefore been subject to a more in-depth competitive analysis, in accordance with the decision-making practice of the Authority which considers that the risk of anti-competitive effects in these markets can generally be ruled out if, following the transaction, at least two national or multi-regional competitors remain in the area concerned. Indeed, the presence of at least two stores owned by this category of competitors, backed by large groups, must ensure a sufficient alternative offer to that of the new entity. These competitors also have the logistical and commercial capabilities required to meet customer demand in a given catchment area. The Authority considers, in this regard, that national or multi-regional competitors are groups operating under one or more brands across a large part of the national territory (and at least in two distinct regions) and consequently have a large number of points of sale.</w:t>
      </w:r>
    </w:p>
    <w:p>
      <w:r>
        <w:t>29. The Authority has thus considered, in the context of the examination of the transaction for the acquisition of 88 business assets belonging to Wolseley France by Chausson Matériaux, that the groups Saint Gobain and VM Matériaux could be considered as national or multi-regional players in the market for generalist trade of construction materials.</w:t>
      </w:r>
    </w:p>
    <w:p>
      <w:r>
        <w:t>1. LUÇON AREA (85)</w:t>
      </w:r>
    </w:p>
    <w:p>
      <w:r>
        <w:t>30. Following the transaction, the new entity will hold two points of sale for specialist trade of tiling, located in Luçon (85) and Fontenay-le-Comte (85).</w:t>
      </w:r>
    </w:p>
    <w:p>
      <w:r>
        <w:t>31. In this area, at least two national or multi-regional competitors operate stores active in the market for specialist trade of tiling.</w:t>
      </w:r>
    </w:p>
    <w:p>
      <w:r>
        <w:t>32. These are stores operated by Saint Gobain (brand "Décocéram", located in Aytré (17) and Niort (79)) and VM Matériaux (brand "VM Matériaux carrelage", located in La Rochelle (17), La Roche-sur-Yon (85), Château d’Olonne (85), and Niort (79)).</w:t>
      </w:r>
    </w:p>
    <w:p>
      <w:r>
        <w:t>33. Consequently, the transaction is not likely to harm competition through horizontal effects in the market for generalist trade of construction materials in the Luçon area.</w:t>
      </w:r>
    </w:p>
    <w:p>
      <w:r>
        <w:rPr>
          <w:b/>
        </w:rPr>
        <w:t>[Pages 7–7]</w:t>
      </w:r>
    </w:p>
    <w:p>
      <w:r>
        <w:t>2. AYTRÉ AREA (17)</w:t>
      </w:r>
    </w:p>
    <w:p>
      <w:r>
        <w:t>34. Following the transaction, the market share of the new entity in the Aytré area is estimated at [20-30]%.</w:t>
      </w:r>
    </w:p>
    <w:p>
      <w:r>
        <w:t>35. In this area, at least two national or multi-regional competitors operate stores active in the generalist construction materials trade market.</w:t>
      </w:r>
    </w:p>
    <w:p>
      <w:r>
        <w:t>36. These are stores operated by Saint Gobain (brand "Point P") and VM Matériaux. Other competitors, members of national independent groups, such as Bigmat and Gedimat, also hold several stores in this area.</w:t>
      </w:r>
    </w:p>
    <w:p>
      <w:r>
        <w:t>37. Consequently, the transaction is not likely to harm competition through horizontal effects in the generalist construction materials trade market in the Aytré area.</w:t>
      </w:r>
    </w:p>
    <w:p>
      <w:r>
        <w:t>3. ST VIVIEN AREA (17)</w:t>
      </w:r>
    </w:p>
    <w:p>
      <w:r>
        <w:t>38. Following the transaction, the market share of the new entity in the St Vivien area (17) is estimated at [20-30]%.</w:t>
      </w:r>
    </w:p>
    <w:p>
      <w:r>
        <w:t>39. In this area, at least two national or multi-regional competitors operate stores active in the generalist construction materials trade market.</w:t>
      </w:r>
    </w:p>
    <w:p>
      <w:r>
        <w:t>40. These are stores operated by Saint Gobain (brand "Point P") and VM Matériaux. Other competitors, members of national independent groups, such as Bigmat and Gedimat, also hold several stores in this area.</w:t>
      </w:r>
    </w:p>
    <w:p>
      <w:r>
        <w:t>41. Consequently, the transaction is not likely to harm competition through horizontal effects in the generalist construction materials trade market in the St Vivien area.</w:t>
      </w:r>
    </w:p>
    <w:p>
      <w:r>
        <w:t>42. It follows from all of the above that the transaction is not likely to harm competition in the construction materials trade markets.</w:t>
      </w:r>
    </w:p>
    <w:p>
      <w:r>
        <w:t>DECIDES</w:t>
      </w:r>
    </w:p>
    <w:p>
      <w:r>
        <w:t>Sole Article: The transaction notified under number 17-273 is authorized.</w:t>
      </w:r>
    </w:p>
    <w:p>
      <w: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